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B2566" w14:textId="53FF714E" w:rsidR="006B0569" w:rsidRDefault="006B0569" w:rsidP="0065415B">
      <w:pPr>
        <w:jc w:val="center"/>
        <w:rPr>
          <w:b/>
          <w:sz w:val="32"/>
        </w:rPr>
      </w:pPr>
      <w:r w:rsidRPr="00CB53C5">
        <w:rPr>
          <w:b/>
          <w:noProof/>
          <w:sz w:val="32"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AA8EDD" wp14:editId="4CB5643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70270" cy="750570"/>
                <wp:effectExtent l="0" t="0" r="1143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0270" cy="750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23B051" w14:textId="19F76CC9" w:rsidR="006B0569" w:rsidRDefault="00B91293" w:rsidP="006B0569">
                            <w:pPr>
                              <w:jc w:val="center"/>
                            </w:pPr>
                            <w:r>
                              <w:rPr>
                                <w:sz w:val="24"/>
                              </w:rPr>
                              <w:t xml:space="preserve">This sample </w:t>
                            </w:r>
                            <w:r w:rsidR="00A81C8A">
                              <w:rPr>
                                <w:sz w:val="24"/>
                              </w:rPr>
                              <w:t>plan</w:t>
                            </w:r>
                            <w:r w:rsidR="006B0569">
                              <w:rPr>
                                <w:sz w:val="24"/>
                              </w:rPr>
                              <w:t xml:space="preserve"> should be customized to f</w:t>
                            </w:r>
                            <w:r w:rsidR="00A81C8A">
                              <w:rPr>
                                <w:sz w:val="24"/>
                              </w:rPr>
                              <w:t>it the needs of your company</w:t>
                            </w:r>
                            <w:r>
                              <w:rPr>
                                <w:sz w:val="24"/>
                              </w:rPr>
                              <w:t xml:space="preserve">.  </w:t>
                            </w:r>
                            <w:r w:rsidRPr="00A81C8A">
                              <w:rPr>
                                <w:sz w:val="24"/>
                              </w:rPr>
                              <w:t>This plan is not meant to be used as-</w:t>
                            </w:r>
                            <w:proofErr w:type="gramStart"/>
                            <w:r w:rsidRPr="00A81C8A">
                              <w:rPr>
                                <w:sz w:val="24"/>
                              </w:rPr>
                              <w:t>is, but</w:t>
                            </w:r>
                            <w:proofErr w:type="gramEnd"/>
                            <w:r w:rsidRPr="00A81C8A">
                              <w:rPr>
                                <w:sz w:val="24"/>
                              </w:rPr>
                              <w:t xml:space="preserve"> should be adjusted to reflect </w:t>
                            </w:r>
                            <w:r w:rsidR="00753516">
                              <w:rPr>
                                <w:sz w:val="24"/>
                              </w:rPr>
                              <w:t>the structure of your place of employment</w:t>
                            </w:r>
                            <w:r w:rsidRPr="00A81C8A">
                              <w:rPr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AA8E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70.1pt;height:59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">
                <v:textbox>
                  <w:txbxContent>
                    <w:p w14:paraId="1323B051" w14:textId="19F76CC9" w:rsidR="006B0569" w:rsidRDefault="00B91293" w:rsidP="006B0569">
                      <w:pPr>
                        <w:jc w:val="center"/>
                      </w:pPr>
                      <w:r>
                        <w:rPr>
                          <w:sz w:val="24"/>
                        </w:rPr>
                        <w:t xml:space="preserve">This sample </w:t>
                      </w:r>
                      <w:r w:rsidR="00A81C8A">
                        <w:rPr>
                          <w:sz w:val="24"/>
                        </w:rPr>
                        <w:t>plan</w:t>
                      </w:r>
                      <w:r w:rsidR="006B0569">
                        <w:rPr>
                          <w:sz w:val="24"/>
                        </w:rPr>
                        <w:t xml:space="preserve"> should be customized to f</w:t>
                      </w:r>
                      <w:r w:rsidR="00A81C8A">
                        <w:rPr>
                          <w:sz w:val="24"/>
                        </w:rPr>
                        <w:t>it the needs of your company</w:t>
                      </w:r>
                      <w:r>
                        <w:rPr>
                          <w:sz w:val="24"/>
                        </w:rPr>
                        <w:t xml:space="preserve">.  </w:t>
                      </w:r>
                      <w:r w:rsidRPr="00A81C8A">
                        <w:rPr>
                          <w:sz w:val="24"/>
                        </w:rPr>
                        <w:t>This plan is not meant to be used as-</w:t>
                      </w:r>
                      <w:proofErr w:type="gramStart"/>
                      <w:r w:rsidRPr="00A81C8A">
                        <w:rPr>
                          <w:sz w:val="24"/>
                        </w:rPr>
                        <w:t>is, but</w:t>
                      </w:r>
                      <w:proofErr w:type="gramEnd"/>
                      <w:r w:rsidRPr="00A81C8A">
                        <w:rPr>
                          <w:sz w:val="24"/>
                        </w:rPr>
                        <w:t xml:space="preserve"> should be adjusted to reflect </w:t>
                      </w:r>
                      <w:r w:rsidR="00753516">
                        <w:rPr>
                          <w:sz w:val="24"/>
                        </w:rPr>
                        <w:t>the structure of your place of employment</w:t>
                      </w:r>
                      <w:r w:rsidRPr="00A81C8A">
                        <w:rPr>
                          <w:sz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090CCE1" w14:textId="0879E221" w:rsidR="00907C03" w:rsidRDefault="00421A2F" w:rsidP="0065415B">
      <w:pPr>
        <w:jc w:val="center"/>
        <w:rPr>
          <w:b/>
          <w:sz w:val="32"/>
        </w:rPr>
      </w:pPr>
      <w:r>
        <w:rPr>
          <w:b/>
          <w:sz w:val="32"/>
        </w:rPr>
        <w:t>HEALTH AND SAFETY COMMUNICATION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81C8A" w14:paraId="6F21E6F2" w14:textId="77777777" w:rsidTr="00A45676">
        <w:tc>
          <w:tcPr>
            <w:tcW w:w="4675" w:type="dxa"/>
          </w:tcPr>
          <w:p w14:paraId="2D5D3BE5" w14:textId="77777777" w:rsidR="00A81C8A" w:rsidRDefault="00A81C8A" w:rsidP="00A45676">
            <w:pPr>
              <w:rPr>
                <w:b/>
                <w:sz w:val="24"/>
              </w:rPr>
            </w:pPr>
            <w:r w:rsidRPr="0065415B">
              <w:rPr>
                <w:b/>
                <w:sz w:val="24"/>
              </w:rPr>
              <w:t>Da</w:t>
            </w:r>
            <w:r>
              <w:rPr>
                <w:b/>
                <w:sz w:val="24"/>
              </w:rPr>
              <w:t xml:space="preserve">te of Issue: </w:t>
            </w:r>
            <w:r w:rsidRPr="0065415B">
              <w:rPr>
                <w:sz w:val="24"/>
              </w:rPr>
              <w:t>choose issue date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675" w:type="dxa"/>
          </w:tcPr>
          <w:p w14:paraId="6CCF7E01" w14:textId="77777777" w:rsidR="00A81C8A" w:rsidRDefault="00A81C8A" w:rsidP="00A45676">
            <w:pPr>
              <w:rPr>
                <w:b/>
                <w:sz w:val="24"/>
              </w:rPr>
            </w:pPr>
            <w:r w:rsidRPr="0065415B">
              <w:rPr>
                <w:b/>
                <w:sz w:val="24"/>
              </w:rPr>
              <w:t xml:space="preserve">Review Date: </w:t>
            </w:r>
            <w:r w:rsidRPr="0065415B">
              <w:rPr>
                <w:sz w:val="24"/>
              </w:rPr>
              <w:t>choose date for review</w:t>
            </w:r>
          </w:p>
        </w:tc>
      </w:tr>
      <w:tr w:rsidR="00A81C8A" w14:paraId="52D28319" w14:textId="77777777" w:rsidTr="00A45676">
        <w:tc>
          <w:tcPr>
            <w:tcW w:w="4675" w:type="dxa"/>
          </w:tcPr>
          <w:p w14:paraId="02A5B20D" w14:textId="77777777" w:rsidR="00A81C8A" w:rsidRDefault="00A81C8A" w:rsidP="00A45676">
            <w:pPr>
              <w:rPr>
                <w:b/>
                <w:sz w:val="24"/>
              </w:rPr>
            </w:pPr>
            <w:r w:rsidRPr="0065415B">
              <w:rPr>
                <w:b/>
                <w:sz w:val="24"/>
              </w:rPr>
              <w:t xml:space="preserve">Written </w:t>
            </w:r>
            <w:proofErr w:type="gramStart"/>
            <w:r w:rsidRPr="0065415B">
              <w:rPr>
                <w:b/>
                <w:sz w:val="24"/>
              </w:rPr>
              <w:t>b</w:t>
            </w:r>
            <w:r>
              <w:rPr>
                <w:b/>
                <w:sz w:val="24"/>
              </w:rPr>
              <w:t>y:</w:t>
            </w:r>
            <w:proofErr w:type="gramEnd"/>
            <w:r>
              <w:rPr>
                <w:b/>
                <w:sz w:val="24"/>
              </w:rPr>
              <w:t xml:space="preserve"> </w:t>
            </w:r>
            <w:r w:rsidRPr="0065415B">
              <w:rPr>
                <w:sz w:val="24"/>
              </w:rPr>
              <w:t>person(s) who wrote document</w:t>
            </w:r>
          </w:p>
        </w:tc>
        <w:tc>
          <w:tcPr>
            <w:tcW w:w="4675" w:type="dxa"/>
          </w:tcPr>
          <w:p w14:paraId="29AC5200" w14:textId="77777777" w:rsidR="00A81C8A" w:rsidRDefault="00A81C8A" w:rsidP="00A45676">
            <w:pPr>
              <w:rPr>
                <w:b/>
                <w:sz w:val="24"/>
              </w:rPr>
            </w:pPr>
            <w:r w:rsidRPr="0065415B">
              <w:rPr>
                <w:b/>
                <w:sz w:val="24"/>
              </w:rPr>
              <w:t xml:space="preserve">Date: </w:t>
            </w:r>
            <w:r w:rsidRPr="0065415B">
              <w:rPr>
                <w:sz w:val="24"/>
              </w:rPr>
              <w:t>insert date written</w:t>
            </w:r>
          </w:p>
        </w:tc>
      </w:tr>
      <w:tr w:rsidR="00A81C8A" w14:paraId="3FAB7AB3" w14:textId="77777777" w:rsidTr="00A45676">
        <w:tc>
          <w:tcPr>
            <w:tcW w:w="4675" w:type="dxa"/>
          </w:tcPr>
          <w:p w14:paraId="70FC304B" w14:textId="77777777" w:rsidR="00A81C8A" w:rsidRDefault="00A81C8A" w:rsidP="00A45676">
            <w:pPr>
              <w:rPr>
                <w:b/>
                <w:sz w:val="24"/>
              </w:rPr>
            </w:pPr>
            <w:r w:rsidRPr="0065415B">
              <w:rPr>
                <w:b/>
                <w:sz w:val="24"/>
              </w:rPr>
              <w:t>Revi</w:t>
            </w:r>
            <w:r>
              <w:rPr>
                <w:b/>
                <w:sz w:val="24"/>
              </w:rPr>
              <w:t xml:space="preserve">ewed </w:t>
            </w:r>
            <w:proofErr w:type="gramStart"/>
            <w:r>
              <w:rPr>
                <w:b/>
                <w:sz w:val="24"/>
              </w:rPr>
              <w:t>by:</w:t>
            </w:r>
            <w:proofErr w:type="gramEnd"/>
            <w:r>
              <w:rPr>
                <w:b/>
                <w:sz w:val="24"/>
              </w:rPr>
              <w:t xml:space="preserve"> </w:t>
            </w:r>
            <w:r w:rsidRPr="0065415B">
              <w:rPr>
                <w:sz w:val="24"/>
              </w:rPr>
              <w:t>person(s) who reviewed</w:t>
            </w:r>
          </w:p>
        </w:tc>
        <w:tc>
          <w:tcPr>
            <w:tcW w:w="4675" w:type="dxa"/>
          </w:tcPr>
          <w:p w14:paraId="15D5A1C3" w14:textId="77777777" w:rsidR="00A81C8A" w:rsidRDefault="00A81C8A" w:rsidP="00A45676">
            <w:pPr>
              <w:rPr>
                <w:b/>
                <w:sz w:val="24"/>
              </w:rPr>
            </w:pPr>
            <w:r w:rsidRPr="0065415B">
              <w:rPr>
                <w:b/>
                <w:sz w:val="24"/>
              </w:rPr>
              <w:t xml:space="preserve">Date: </w:t>
            </w:r>
            <w:r w:rsidRPr="0065415B">
              <w:rPr>
                <w:sz w:val="24"/>
              </w:rPr>
              <w:t>insert date written</w:t>
            </w:r>
          </w:p>
        </w:tc>
      </w:tr>
      <w:tr w:rsidR="00A81C8A" w14:paraId="15B9413A" w14:textId="77777777" w:rsidTr="00A45676">
        <w:tc>
          <w:tcPr>
            <w:tcW w:w="4675" w:type="dxa"/>
          </w:tcPr>
          <w:p w14:paraId="308EFC18" w14:textId="77777777" w:rsidR="00A81C8A" w:rsidRDefault="00A81C8A" w:rsidP="00A45676">
            <w:pPr>
              <w:rPr>
                <w:b/>
                <w:sz w:val="24"/>
              </w:rPr>
            </w:pPr>
            <w:r w:rsidRPr="0065415B">
              <w:rPr>
                <w:b/>
                <w:sz w:val="24"/>
              </w:rPr>
              <w:t xml:space="preserve">Approved </w:t>
            </w:r>
            <w:proofErr w:type="gramStart"/>
            <w:r w:rsidRPr="0065415B">
              <w:rPr>
                <w:b/>
                <w:sz w:val="24"/>
              </w:rPr>
              <w:t>by:</w:t>
            </w:r>
            <w:proofErr w:type="gramEnd"/>
            <w:r>
              <w:rPr>
                <w:b/>
                <w:sz w:val="24"/>
              </w:rPr>
              <w:t xml:space="preserve"> </w:t>
            </w:r>
            <w:r w:rsidRPr="0065415B">
              <w:rPr>
                <w:sz w:val="24"/>
              </w:rPr>
              <w:t>person responsible for process</w:t>
            </w:r>
          </w:p>
        </w:tc>
        <w:tc>
          <w:tcPr>
            <w:tcW w:w="4675" w:type="dxa"/>
          </w:tcPr>
          <w:p w14:paraId="786A011A" w14:textId="77777777" w:rsidR="00A81C8A" w:rsidRDefault="00A81C8A" w:rsidP="00A45676">
            <w:pPr>
              <w:rPr>
                <w:b/>
                <w:sz w:val="24"/>
              </w:rPr>
            </w:pPr>
            <w:r w:rsidRPr="0065415B">
              <w:rPr>
                <w:b/>
                <w:sz w:val="24"/>
              </w:rPr>
              <w:t xml:space="preserve">Date: </w:t>
            </w:r>
            <w:r w:rsidRPr="0065415B">
              <w:rPr>
                <w:sz w:val="24"/>
              </w:rPr>
              <w:t>insert date written</w:t>
            </w:r>
          </w:p>
        </w:tc>
      </w:tr>
    </w:tbl>
    <w:p w14:paraId="2E10C807" w14:textId="77777777" w:rsidR="0065415B" w:rsidRDefault="0065415B" w:rsidP="0065415B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703"/>
        <w:gridCol w:w="4675"/>
      </w:tblGrid>
      <w:tr w:rsidR="00753516" w14:paraId="7A07A564" w14:textId="77777777" w:rsidTr="0017258B">
        <w:tc>
          <w:tcPr>
            <w:tcW w:w="9350" w:type="dxa"/>
            <w:gridSpan w:val="3"/>
            <w:shd w:val="clear" w:color="auto" w:fill="D0CECE" w:themeFill="background2" w:themeFillShade="E6"/>
          </w:tcPr>
          <w:p w14:paraId="298BFA22" w14:textId="76A3F1B0" w:rsidR="00753516" w:rsidRDefault="00753516" w:rsidP="0017258B">
            <w:pPr>
              <w:rPr>
                <w:b/>
                <w:sz w:val="24"/>
              </w:rPr>
            </w:pPr>
            <w:bookmarkStart w:id="0" w:name="_Hlk19445219"/>
            <w:r>
              <w:rPr>
                <w:b/>
                <w:sz w:val="24"/>
              </w:rPr>
              <w:t>PURPOSE</w:t>
            </w:r>
          </w:p>
        </w:tc>
      </w:tr>
      <w:tr w:rsidR="00421A2F" w14:paraId="0396EC2A" w14:textId="77777777" w:rsidTr="00421A2F">
        <w:tc>
          <w:tcPr>
            <w:tcW w:w="9350" w:type="dxa"/>
            <w:gridSpan w:val="3"/>
            <w:shd w:val="clear" w:color="auto" w:fill="auto"/>
          </w:tcPr>
          <w:p w14:paraId="7AC57142" w14:textId="4A567C91" w:rsidR="00421A2F" w:rsidRPr="00421A2F" w:rsidRDefault="00421A2F" w:rsidP="00E325A8">
            <w:pPr>
              <w:spacing w:before="120" w:after="120"/>
              <w:rPr>
                <w:sz w:val="24"/>
              </w:rPr>
            </w:pPr>
            <w:r w:rsidRPr="00E325A8">
              <w:t>The purpose of this procedure is to define the Company Name process for communicating relevant health and safety information to staff, visitors and contractors.</w:t>
            </w:r>
          </w:p>
        </w:tc>
      </w:tr>
      <w:bookmarkEnd w:id="0"/>
      <w:tr w:rsidR="00583B9F" w14:paraId="550B8E66" w14:textId="77777777" w:rsidTr="0017258B">
        <w:tc>
          <w:tcPr>
            <w:tcW w:w="9350" w:type="dxa"/>
            <w:gridSpan w:val="3"/>
            <w:shd w:val="clear" w:color="auto" w:fill="D0CECE" w:themeFill="background2" w:themeFillShade="E6"/>
          </w:tcPr>
          <w:p w14:paraId="07A4B6F5" w14:textId="01E14BD0" w:rsidR="00583B9F" w:rsidRDefault="00583B9F" w:rsidP="0017258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SCOPE</w:t>
            </w:r>
          </w:p>
        </w:tc>
      </w:tr>
      <w:tr w:rsidR="00583B9F" w:rsidRPr="003002D2" w14:paraId="622531CF" w14:textId="77777777" w:rsidTr="0017258B">
        <w:tc>
          <w:tcPr>
            <w:tcW w:w="9350" w:type="dxa"/>
            <w:gridSpan w:val="3"/>
            <w:vAlign w:val="center"/>
          </w:tcPr>
          <w:p w14:paraId="3762BE24" w14:textId="6D5F6F70" w:rsidR="00583B9F" w:rsidRPr="003002D2" w:rsidRDefault="00583B9F" w:rsidP="00583B9F">
            <w:pPr>
              <w:spacing w:before="120" w:after="120"/>
              <w:rPr>
                <w:rFonts w:cstheme="minorHAnsi"/>
                <w:bCs/>
                <w:iCs/>
              </w:rPr>
            </w:pPr>
            <w:r>
              <w:t xml:space="preserve">This procedure applies to all employees, including Senior Management. These responsibilities reflect the requirements of the Occupational Health and Safety Act (OHSA) and the specific company responsibilities </w:t>
            </w:r>
            <w:proofErr w:type="gramStart"/>
            <w:r w:rsidR="00E325A8">
              <w:t>in regards to</w:t>
            </w:r>
            <w:proofErr w:type="gramEnd"/>
            <w:r w:rsidR="00E325A8">
              <w:t xml:space="preserve"> communication of health and safety information</w:t>
            </w:r>
            <w:r>
              <w:t>.</w:t>
            </w:r>
          </w:p>
        </w:tc>
      </w:tr>
      <w:tr w:rsidR="002D5077" w14:paraId="4EE64F64" w14:textId="77777777" w:rsidTr="0017258B">
        <w:tc>
          <w:tcPr>
            <w:tcW w:w="9350" w:type="dxa"/>
            <w:gridSpan w:val="3"/>
            <w:shd w:val="clear" w:color="auto" w:fill="D0CECE" w:themeFill="background2" w:themeFillShade="E6"/>
          </w:tcPr>
          <w:p w14:paraId="35F33934" w14:textId="372F51DD" w:rsidR="002D5077" w:rsidRDefault="002D5077" w:rsidP="0017258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RELATED DOCUMENTATION</w:t>
            </w:r>
          </w:p>
        </w:tc>
      </w:tr>
      <w:tr w:rsidR="002D5077" w:rsidRPr="003002D2" w14:paraId="007FFACA" w14:textId="77777777" w:rsidTr="0017258B">
        <w:tc>
          <w:tcPr>
            <w:tcW w:w="9350" w:type="dxa"/>
            <w:gridSpan w:val="3"/>
            <w:vAlign w:val="center"/>
          </w:tcPr>
          <w:p w14:paraId="58DB5EF6" w14:textId="77777777" w:rsidR="002D5077" w:rsidRDefault="002D5077" w:rsidP="0017258B">
            <w:pPr>
              <w:spacing w:before="120" w:after="120"/>
              <w:rPr>
                <w:b/>
              </w:rPr>
            </w:pPr>
            <w:r>
              <w:rPr>
                <w:b/>
              </w:rPr>
              <w:t>Internal</w:t>
            </w:r>
          </w:p>
          <w:p w14:paraId="16B79D35" w14:textId="01430EA2" w:rsidR="006531F5" w:rsidRDefault="00695284" w:rsidP="006531F5">
            <w:pPr>
              <w:spacing w:before="120" w:after="100" w:afterAutospacing="1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Health and Safety Responsibilities Procedure</w:t>
            </w:r>
            <w:r>
              <w:rPr>
                <w:rFonts w:cstheme="minorHAnsi"/>
                <w:bCs/>
                <w:iCs/>
              </w:rPr>
              <w:br/>
              <w:t>Legal and Other Requirement</w:t>
            </w:r>
            <w:r w:rsidR="006531F5">
              <w:rPr>
                <w:rFonts w:cstheme="minorHAnsi"/>
                <w:bCs/>
                <w:iCs/>
              </w:rPr>
              <w:t xml:space="preserve">                                                                                                                                   Health and Safety Accountabilities</w:t>
            </w:r>
          </w:p>
          <w:p w14:paraId="65AA2935" w14:textId="77777777" w:rsidR="006531F5" w:rsidRPr="006531F5" w:rsidRDefault="006531F5" w:rsidP="006531F5">
            <w:pPr>
              <w:spacing w:before="120" w:after="100" w:afterAutospacing="1"/>
              <w:rPr>
                <w:rFonts w:cstheme="minorHAnsi"/>
                <w:b/>
                <w:bCs/>
                <w:iCs/>
              </w:rPr>
            </w:pPr>
            <w:r w:rsidRPr="006531F5">
              <w:rPr>
                <w:rFonts w:cstheme="minorHAnsi"/>
                <w:b/>
                <w:bCs/>
                <w:iCs/>
              </w:rPr>
              <w:t>External</w:t>
            </w:r>
          </w:p>
          <w:p w14:paraId="74807E73" w14:textId="23287F93" w:rsidR="00914A02" w:rsidRPr="006531F5" w:rsidRDefault="006531F5" w:rsidP="006531F5">
            <w:pPr>
              <w:spacing w:before="120" w:after="100" w:afterAutospacing="1"/>
              <w:rPr>
                <w:rFonts w:cstheme="minorHAnsi"/>
                <w:bCs/>
                <w:i/>
                <w:iCs/>
              </w:rPr>
            </w:pPr>
            <w:r w:rsidRPr="006531F5">
              <w:rPr>
                <w:rFonts w:cstheme="minorHAnsi"/>
                <w:bCs/>
                <w:i/>
                <w:iCs/>
              </w:rPr>
              <w:t xml:space="preserve">Occupational Health and Safety Act </w:t>
            </w:r>
            <w:r>
              <w:rPr>
                <w:rFonts w:cstheme="minorHAnsi"/>
                <w:bCs/>
                <w:i/>
                <w:iCs/>
              </w:rPr>
              <w:t>(OHSA)</w:t>
            </w:r>
          </w:p>
        </w:tc>
      </w:tr>
      <w:tr w:rsidR="0065415B" w14:paraId="0777CC1E" w14:textId="77777777" w:rsidTr="0065415B">
        <w:tc>
          <w:tcPr>
            <w:tcW w:w="9350" w:type="dxa"/>
            <w:gridSpan w:val="3"/>
            <w:shd w:val="clear" w:color="auto" w:fill="D0CECE" w:themeFill="background2" w:themeFillShade="E6"/>
          </w:tcPr>
          <w:p w14:paraId="7D141BB4" w14:textId="216EBD9B" w:rsidR="0065415B" w:rsidRDefault="00622538" w:rsidP="0065415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DEFINITIONS</w:t>
            </w:r>
          </w:p>
        </w:tc>
      </w:tr>
      <w:tr w:rsidR="00A25A3A" w14:paraId="4CDECE13" w14:textId="77777777" w:rsidTr="007A355E">
        <w:tc>
          <w:tcPr>
            <w:tcW w:w="2972" w:type="dxa"/>
            <w:vAlign w:val="center"/>
          </w:tcPr>
          <w:p w14:paraId="4DAF2FF8" w14:textId="4EC991FD" w:rsidR="00A25A3A" w:rsidRDefault="003F2BC8" w:rsidP="003002D2">
            <w:pPr>
              <w:widowControl w:val="0"/>
              <w:spacing w:before="120" w:after="120"/>
              <w:ind w:left="29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Communication</w:t>
            </w:r>
          </w:p>
        </w:tc>
        <w:tc>
          <w:tcPr>
            <w:tcW w:w="6378" w:type="dxa"/>
            <w:gridSpan w:val="2"/>
            <w:vAlign w:val="center"/>
          </w:tcPr>
          <w:p w14:paraId="54D00F10" w14:textId="1006F879" w:rsidR="00A25A3A" w:rsidRDefault="003F2BC8" w:rsidP="00A25A3A">
            <w:pPr>
              <w:spacing w:before="120" w:after="120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 xml:space="preserve">Communication is the </w:t>
            </w:r>
            <w:r w:rsidRPr="003F2BC8">
              <w:rPr>
                <w:rFonts w:cstheme="minorHAnsi"/>
                <w:bCs/>
                <w:iCs/>
              </w:rPr>
              <w:t>process by which information is transmitted and understood between two or more people.</w:t>
            </w:r>
          </w:p>
        </w:tc>
      </w:tr>
      <w:tr w:rsidR="003002D2" w14:paraId="37E91302" w14:textId="77777777" w:rsidTr="007A355E">
        <w:tc>
          <w:tcPr>
            <w:tcW w:w="2972" w:type="dxa"/>
            <w:vAlign w:val="center"/>
          </w:tcPr>
          <w:p w14:paraId="6D5CE63A" w14:textId="7AB7F997" w:rsidR="003002D2" w:rsidRPr="003002D2" w:rsidRDefault="00914A02" w:rsidP="003002D2">
            <w:pPr>
              <w:widowControl w:val="0"/>
              <w:spacing w:before="120" w:after="120"/>
              <w:ind w:left="29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OHSA</w:t>
            </w:r>
          </w:p>
        </w:tc>
        <w:tc>
          <w:tcPr>
            <w:tcW w:w="6378" w:type="dxa"/>
            <w:gridSpan w:val="2"/>
            <w:vAlign w:val="center"/>
          </w:tcPr>
          <w:p w14:paraId="1FF93EC0" w14:textId="759730A6" w:rsidR="003002D2" w:rsidRPr="003002D2" w:rsidRDefault="00914A02" w:rsidP="003002D2">
            <w:pPr>
              <w:spacing w:before="120" w:after="120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Occupational Health and Safety Act</w:t>
            </w:r>
          </w:p>
        </w:tc>
      </w:tr>
      <w:tr w:rsidR="000E5180" w14:paraId="3A165164" w14:textId="77777777" w:rsidTr="0017258B">
        <w:tc>
          <w:tcPr>
            <w:tcW w:w="9350" w:type="dxa"/>
            <w:gridSpan w:val="3"/>
            <w:shd w:val="clear" w:color="auto" w:fill="D0CECE" w:themeFill="background2" w:themeFillShade="E6"/>
          </w:tcPr>
          <w:p w14:paraId="6D719963" w14:textId="3A7CDB0F" w:rsidR="000E5180" w:rsidRDefault="000E5180" w:rsidP="0017258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ROLES AND RESPONSIBILITIES</w:t>
            </w:r>
          </w:p>
        </w:tc>
      </w:tr>
      <w:tr w:rsidR="000E5180" w:rsidRPr="003002D2" w14:paraId="1C07061F" w14:textId="77777777" w:rsidTr="0017258B">
        <w:tc>
          <w:tcPr>
            <w:tcW w:w="9350" w:type="dxa"/>
            <w:gridSpan w:val="3"/>
            <w:vAlign w:val="center"/>
          </w:tcPr>
          <w:p w14:paraId="7B8F2AE8" w14:textId="77F5AEA4" w:rsidR="003F2BC8" w:rsidRPr="003F2BC8" w:rsidRDefault="000E5180" w:rsidP="003F2BC8">
            <w:pPr>
              <w:spacing w:before="120" w:after="120"/>
              <w:rPr>
                <w:b/>
              </w:rPr>
            </w:pPr>
            <w:r w:rsidRPr="000E5180">
              <w:rPr>
                <w:b/>
              </w:rPr>
              <w:t xml:space="preserve">Management is responsible to: </w:t>
            </w:r>
          </w:p>
          <w:p w14:paraId="3E6DFAB8" w14:textId="00CB1F86" w:rsidR="003F2BC8" w:rsidRPr="003F2BC8" w:rsidRDefault="003F2BC8" w:rsidP="003F2BC8">
            <w:pPr>
              <w:pStyle w:val="ListParagraph"/>
              <w:numPr>
                <w:ilvl w:val="0"/>
                <w:numId w:val="43"/>
              </w:numPr>
              <w:spacing w:before="120" w:after="120"/>
            </w:pPr>
            <w:r>
              <w:t>Develop</w:t>
            </w:r>
            <w:r w:rsidRPr="003F2BC8">
              <w:t xml:space="preserve"> and review of th</w:t>
            </w:r>
            <w:r w:rsidR="00D47ACF">
              <w:t xml:space="preserve">e </w:t>
            </w:r>
            <w:r>
              <w:t>Health and Safety</w:t>
            </w:r>
            <w:r w:rsidRPr="003F2BC8">
              <w:t xml:space="preserve"> Communication procedure</w:t>
            </w:r>
            <w:r w:rsidR="00D47ACF">
              <w:t xml:space="preserve"> and </w:t>
            </w:r>
            <w:r w:rsidRPr="003F2BC8">
              <w:t>associated Communication guidelines and tools</w:t>
            </w:r>
            <w:r>
              <w:t>.</w:t>
            </w:r>
          </w:p>
          <w:p w14:paraId="1C38492D" w14:textId="49C2ACD8" w:rsidR="003F2BC8" w:rsidRPr="003F2BC8" w:rsidRDefault="003F2BC8" w:rsidP="00D47ACF">
            <w:pPr>
              <w:pStyle w:val="ListParagraph"/>
              <w:numPr>
                <w:ilvl w:val="0"/>
                <w:numId w:val="43"/>
              </w:numPr>
              <w:spacing w:before="120" w:after="120"/>
            </w:pPr>
            <w:r w:rsidRPr="003F2BC8">
              <w:lastRenderedPageBreak/>
              <w:t>Interpret health and safety information and disseminat</w:t>
            </w:r>
            <w:r w:rsidR="00D47ACF">
              <w:t>e</w:t>
            </w:r>
            <w:r w:rsidRPr="003F2BC8">
              <w:t xml:space="preserve"> of relevant information to the </w:t>
            </w:r>
            <w:r w:rsidR="00D47ACF">
              <w:t>workplace</w:t>
            </w:r>
            <w:r w:rsidRPr="003F2BC8">
              <w:t xml:space="preserve">. This includes </w:t>
            </w:r>
            <w:r w:rsidR="00D47ACF">
              <w:t>health and safety</w:t>
            </w:r>
            <w:r w:rsidRPr="003F2BC8">
              <w:t xml:space="preserve"> legislation, </w:t>
            </w:r>
            <w:r w:rsidR="00D47ACF">
              <w:t>company</w:t>
            </w:r>
            <w:r w:rsidRPr="003F2BC8">
              <w:t xml:space="preserve"> polic</w:t>
            </w:r>
            <w:r w:rsidR="00D47ACF">
              <w:t>ies and</w:t>
            </w:r>
            <w:r w:rsidRPr="003F2BC8">
              <w:t xml:space="preserve"> procedures, </w:t>
            </w:r>
            <w:r w:rsidR="00D47ACF">
              <w:t xml:space="preserve">as well as best industry practices.  </w:t>
            </w:r>
          </w:p>
          <w:p w14:paraId="609AB72E" w14:textId="48EF848E" w:rsidR="000E5180" w:rsidRPr="00DE53FB" w:rsidRDefault="000E5180" w:rsidP="00DE53FB">
            <w:pPr>
              <w:spacing w:before="120" w:after="120"/>
              <w:rPr>
                <w:b/>
              </w:rPr>
            </w:pPr>
            <w:r w:rsidRPr="00DE53FB">
              <w:rPr>
                <w:b/>
              </w:rPr>
              <w:t xml:space="preserve">Supervisors are responsible to: </w:t>
            </w:r>
          </w:p>
          <w:p w14:paraId="6F8EF345" w14:textId="701842B1" w:rsidR="00507D31" w:rsidRDefault="001937CA" w:rsidP="00DE53FB">
            <w:pPr>
              <w:pStyle w:val="ListParagraph"/>
              <w:numPr>
                <w:ilvl w:val="0"/>
                <w:numId w:val="43"/>
              </w:numPr>
              <w:spacing w:before="120" w:after="120"/>
            </w:pPr>
            <w:r>
              <w:t>Ensure</w:t>
            </w:r>
            <w:r w:rsidR="00507D31" w:rsidRPr="00507D31">
              <w:t xml:space="preserve"> that they, and their applicable </w:t>
            </w:r>
            <w:r w:rsidR="00531C4A">
              <w:t xml:space="preserve">workers </w:t>
            </w:r>
            <w:r w:rsidR="00507D31" w:rsidRPr="00507D31">
              <w:t>adhere to the requirements of this procedure.</w:t>
            </w:r>
          </w:p>
          <w:p w14:paraId="1FC72B7C" w14:textId="7C573260" w:rsidR="00531C4A" w:rsidRDefault="001937CA" w:rsidP="00DE53FB">
            <w:pPr>
              <w:pStyle w:val="ListParagraph"/>
              <w:numPr>
                <w:ilvl w:val="0"/>
                <w:numId w:val="43"/>
              </w:numPr>
              <w:spacing w:before="120" w:after="120"/>
            </w:pPr>
            <w:r>
              <w:t>C</w:t>
            </w:r>
            <w:r w:rsidR="00531C4A">
              <w:t xml:space="preserve">ommunicate relevant health and safety information to affected workers.  </w:t>
            </w:r>
          </w:p>
          <w:p w14:paraId="114E2A06" w14:textId="6D3C54AD" w:rsidR="0044550A" w:rsidRDefault="0044550A" w:rsidP="0044550A">
            <w:pPr>
              <w:spacing w:before="120" w:after="120"/>
              <w:rPr>
                <w:b/>
              </w:rPr>
            </w:pPr>
            <w:r w:rsidRPr="0044550A">
              <w:rPr>
                <w:b/>
              </w:rPr>
              <w:t>Workers responsible to:</w:t>
            </w:r>
          </w:p>
          <w:p w14:paraId="5638ACD8" w14:textId="34C36E99" w:rsidR="0025474D" w:rsidRDefault="00626B49" w:rsidP="0025474D">
            <w:pPr>
              <w:pStyle w:val="ListParagraph"/>
              <w:numPr>
                <w:ilvl w:val="0"/>
                <w:numId w:val="43"/>
              </w:numPr>
              <w:spacing w:before="120" w:after="120"/>
            </w:pPr>
            <w:r>
              <w:t>Comply</w:t>
            </w:r>
            <w:r w:rsidR="0025474D">
              <w:t xml:space="preserve"> with any safety instructions communicated to them. This may include information posted on safety notice boards, safe work instructions, verbal instruction, safety signs, email communications, </w:t>
            </w:r>
            <w:r>
              <w:t xml:space="preserve">information </w:t>
            </w:r>
            <w:r w:rsidR="0025474D">
              <w:t>communicated at meetings or disseminated in meeting minutes.</w:t>
            </w:r>
          </w:p>
          <w:p w14:paraId="64B9FEB9" w14:textId="2C2F6D8F" w:rsidR="00504EFB" w:rsidRPr="00504EFB" w:rsidRDefault="00626B49" w:rsidP="0025474D">
            <w:pPr>
              <w:pStyle w:val="ListParagraph"/>
              <w:numPr>
                <w:ilvl w:val="0"/>
                <w:numId w:val="43"/>
              </w:numPr>
              <w:spacing w:before="120" w:after="120"/>
            </w:pPr>
            <w:r>
              <w:t>R</w:t>
            </w:r>
            <w:r w:rsidR="0025474D">
              <w:t>eport to their supervisor if they have difficulty understanding health and safety communications received.</w:t>
            </w:r>
            <w:r w:rsidR="0025474D" w:rsidRPr="00504EFB">
              <w:t xml:space="preserve"> </w:t>
            </w:r>
          </w:p>
          <w:p w14:paraId="686AAF15" w14:textId="77777777" w:rsidR="000E5180" w:rsidRPr="0044550A" w:rsidRDefault="000E5180" w:rsidP="0044550A">
            <w:pPr>
              <w:spacing w:before="120" w:after="120"/>
              <w:rPr>
                <w:b/>
              </w:rPr>
            </w:pPr>
            <w:r w:rsidRPr="0044550A">
              <w:rPr>
                <w:b/>
              </w:rPr>
              <w:t xml:space="preserve">Joint Health &amp; Safety Committee/Worker Health &amp; Safety Representative is responsible to: </w:t>
            </w:r>
          </w:p>
          <w:p w14:paraId="5FCB9C0F" w14:textId="443F1260" w:rsidR="000E5180" w:rsidRDefault="000E5180" w:rsidP="0044550A">
            <w:pPr>
              <w:pStyle w:val="ListParagraph"/>
              <w:numPr>
                <w:ilvl w:val="0"/>
                <w:numId w:val="43"/>
              </w:numPr>
              <w:spacing w:before="120" w:after="120"/>
            </w:pPr>
            <w:r>
              <w:t xml:space="preserve">Monitor the </w:t>
            </w:r>
            <w:r w:rsidR="00314B1F">
              <w:t>communication practices in use for effectiveness</w:t>
            </w:r>
            <w:r>
              <w:t xml:space="preserve">. </w:t>
            </w:r>
          </w:p>
          <w:p w14:paraId="053D4EDC" w14:textId="42B0C13F" w:rsidR="000E5180" w:rsidRPr="00015881" w:rsidRDefault="000E5180" w:rsidP="0017258B">
            <w:pPr>
              <w:pStyle w:val="ListParagraph"/>
              <w:numPr>
                <w:ilvl w:val="0"/>
                <w:numId w:val="43"/>
              </w:numPr>
              <w:spacing w:before="120" w:after="120"/>
            </w:pPr>
            <w:r>
              <w:t xml:space="preserve">Report any significant concerns, with recommendations to address these concerns, to senior management. </w:t>
            </w:r>
          </w:p>
        </w:tc>
      </w:tr>
      <w:tr w:rsidR="00ED4501" w14:paraId="6AB36DC0" w14:textId="77777777" w:rsidTr="0017258B">
        <w:tc>
          <w:tcPr>
            <w:tcW w:w="9350" w:type="dxa"/>
            <w:gridSpan w:val="3"/>
            <w:shd w:val="clear" w:color="auto" w:fill="D0CECE" w:themeFill="background2" w:themeFillShade="E6"/>
          </w:tcPr>
          <w:p w14:paraId="57DD953F" w14:textId="060761D9" w:rsidR="00ED4501" w:rsidRDefault="00ED4501" w:rsidP="0017258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PROCEDURE</w:t>
            </w:r>
          </w:p>
        </w:tc>
      </w:tr>
      <w:tr w:rsidR="00ED4501" w:rsidRPr="003002D2" w14:paraId="39E21742" w14:textId="77777777" w:rsidTr="0017258B">
        <w:tc>
          <w:tcPr>
            <w:tcW w:w="9350" w:type="dxa"/>
            <w:gridSpan w:val="3"/>
            <w:vAlign w:val="center"/>
          </w:tcPr>
          <w:p w14:paraId="0BE98B25" w14:textId="7A94E944" w:rsidR="00511261" w:rsidRPr="00511261" w:rsidRDefault="000D0839" w:rsidP="00511261">
            <w:pPr>
              <w:spacing w:before="120" w:after="120"/>
            </w:pPr>
            <w:r>
              <w:t xml:space="preserve">Relevant </w:t>
            </w:r>
            <w:r w:rsidR="00F468D7">
              <w:t xml:space="preserve">and regulatory </w:t>
            </w:r>
            <w:r>
              <w:t>h</w:t>
            </w:r>
            <w:r w:rsidR="00511261" w:rsidRPr="00511261">
              <w:t xml:space="preserve">ealth and </w:t>
            </w:r>
            <w:r>
              <w:t>s</w:t>
            </w:r>
            <w:r w:rsidR="00511261" w:rsidRPr="00511261">
              <w:t xml:space="preserve">afety </w:t>
            </w:r>
            <w:r>
              <w:t>i</w:t>
            </w:r>
            <w:r w:rsidR="00511261" w:rsidRPr="00511261">
              <w:t xml:space="preserve">nformation can be accessed from: </w:t>
            </w:r>
          </w:p>
          <w:p w14:paraId="198BB53A" w14:textId="6E311390" w:rsidR="00511261" w:rsidRPr="00511261" w:rsidRDefault="00511261" w:rsidP="00511261">
            <w:pPr>
              <w:pStyle w:val="ListParagraph"/>
              <w:numPr>
                <w:ilvl w:val="0"/>
                <w:numId w:val="43"/>
              </w:numPr>
              <w:spacing w:before="120" w:after="120"/>
            </w:pPr>
            <w:r>
              <w:t xml:space="preserve">Health and safety </w:t>
            </w:r>
            <w:r w:rsidRPr="00511261">
              <w:t>policies, procedures, guidance notes, emergency information, online databases</w:t>
            </w:r>
            <w:r>
              <w:t xml:space="preserve"> and the safety board</w:t>
            </w:r>
            <w:r w:rsidRPr="00511261">
              <w:t xml:space="preserve">; </w:t>
            </w:r>
          </w:p>
          <w:p w14:paraId="61302E11" w14:textId="0B89C5FD" w:rsidR="00511261" w:rsidRPr="00511261" w:rsidRDefault="00511261" w:rsidP="00511261">
            <w:pPr>
              <w:pStyle w:val="ListParagraph"/>
              <w:numPr>
                <w:ilvl w:val="0"/>
                <w:numId w:val="43"/>
              </w:numPr>
              <w:spacing w:before="120" w:after="120"/>
            </w:pPr>
            <w:r w:rsidRPr="00511261">
              <w:t xml:space="preserve">Discussions with supervisors, safety personnel, peers, </w:t>
            </w:r>
            <w:r>
              <w:t xml:space="preserve">JHSC </w:t>
            </w:r>
            <w:r w:rsidRPr="00511261">
              <w:t xml:space="preserve">committee members; </w:t>
            </w:r>
          </w:p>
          <w:p w14:paraId="6ED251BF" w14:textId="404C9EEE" w:rsidR="00511261" w:rsidRPr="00511261" w:rsidRDefault="00511261" w:rsidP="00511261">
            <w:pPr>
              <w:pStyle w:val="ListParagraph"/>
              <w:numPr>
                <w:ilvl w:val="0"/>
                <w:numId w:val="43"/>
              </w:numPr>
              <w:spacing w:before="120" w:after="120"/>
            </w:pPr>
            <w:r w:rsidRPr="00511261">
              <w:t xml:space="preserve">Attending meetings; </w:t>
            </w:r>
          </w:p>
          <w:p w14:paraId="15970A6B" w14:textId="1E7A5982" w:rsidR="00511261" w:rsidRPr="00511261" w:rsidRDefault="00511261" w:rsidP="00511261">
            <w:pPr>
              <w:pStyle w:val="ListParagraph"/>
              <w:numPr>
                <w:ilvl w:val="0"/>
                <w:numId w:val="43"/>
              </w:numPr>
              <w:spacing w:before="120" w:after="120"/>
            </w:pPr>
            <w:r w:rsidRPr="00511261">
              <w:t xml:space="preserve">Reading communications received containing safety information; </w:t>
            </w:r>
          </w:p>
          <w:p w14:paraId="5E77726D" w14:textId="58F061F3" w:rsidR="00511261" w:rsidRPr="00511261" w:rsidRDefault="00511261" w:rsidP="00511261">
            <w:pPr>
              <w:pStyle w:val="ListParagraph"/>
              <w:numPr>
                <w:ilvl w:val="0"/>
                <w:numId w:val="43"/>
              </w:numPr>
              <w:spacing w:before="120" w:after="120"/>
            </w:pPr>
            <w:r w:rsidRPr="00511261">
              <w:t xml:space="preserve">Reading safety signage posted </w:t>
            </w:r>
            <w:r>
              <w:t>within the workforce</w:t>
            </w:r>
            <w:r w:rsidRPr="00511261">
              <w:t xml:space="preserve">; </w:t>
            </w:r>
            <w:r>
              <w:t>and,</w:t>
            </w:r>
          </w:p>
          <w:p w14:paraId="276DAB59" w14:textId="4A518B36" w:rsidR="00511261" w:rsidRPr="00511261" w:rsidRDefault="00511261" w:rsidP="00511261">
            <w:pPr>
              <w:pStyle w:val="ListParagraph"/>
              <w:numPr>
                <w:ilvl w:val="0"/>
                <w:numId w:val="43"/>
              </w:numPr>
              <w:spacing w:before="120" w:after="120"/>
            </w:pPr>
            <w:r w:rsidRPr="00511261">
              <w:t xml:space="preserve">Completing </w:t>
            </w:r>
            <w:r>
              <w:t>health and safety orientation</w:t>
            </w:r>
            <w:r w:rsidRPr="00511261">
              <w:t xml:space="preserve"> and training session</w:t>
            </w:r>
            <w:r>
              <w:t>s</w:t>
            </w:r>
            <w:r w:rsidRPr="00511261">
              <w:t xml:space="preserve">. </w:t>
            </w:r>
          </w:p>
          <w:p w14:paraId="21CE3753" w14:textId="77777777" w:rsidR="00511261" w:rsidRPr="00511261" w:rsidRDefault="00511261" w:rsidP="0051126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F2D30FB" w14:textId="69CFF134" w:rsidR="00511261" w:rsidRPr="00511261" w:rsidRDefault="000D0839" w:rsidP="000D0839">
            <w:pPr>
              <w:spacing w:before="120" w:after="120"/>
            </w:pPr>
            <w:r>
              <w:t>Health and Safety</w:t>
            </w:r>
            <w:r w:rsidR="00511261" w:rsidRPr="00511261">
              <w:t xml:space="preserve"> Documents </w:t>
            </w:r>
            <w:r>
              <w:t>and Procedures:</w:t>
            </w:r>
          </w:p>
          <w:p w14:paraId="03BD187B" w14:textId="6BAE9F5E" w:rsidR="00511261" w:rsidRDefault="00511261" w:rsidP="000D0839">
            <w:pPr>
              <w:pStyle w:val="ListParagraph"/>
              <w:numPr>
                <w:ilvl w:val="0"/>
                <w:numId w:val="43"/>
              </w:numPr>
              <w:spacing w:before="120" w:after="120"/>
            </w:pPr>
            <w:r w:rsidRPr="00511261">
              <w:t xml:space="preserve">All new documents </w:t>
            </w:r>
            <w:r w:rsidR="000D0839">
              <w:t>and procedures</w:t>
            </w:r>
            <w:r w:rsidR="00F468D7">
              <w:t>, or documents with significant changes,</w:t>
            </w:r>
            <w:r w:rsidR="000D0839">
              <w:t xml:space="preserve"> </w:t>
            </w:r>
            <w:r w:rsidRPr="00511261">
              <w:t xml:space="preserve">produced by </w:t>
            </w:r>
            <w:r w:rsidR="000D0839">
              <w:t xml:space="preserve">management and the JHSC </w:t>
            </w:r>
            <w:r w:rsidRPr="00511261">
              <w:t xml:space="preserve">must be communicated to all staff </w:t>
            </w:r>
            <w:r w:rsidR="000D0839">
              <w:t>within an acceptable timeframe.</w:t>
            </w:r>
          </w:p>
          <w:p w14:paraId="53EBF73F" w14:textId="41BEC503" w:rsidR="00511261" w:rsidRPr="00F468D7" w:rsidRDefault="00F468D7" w:rsidP="00F468D7">
            <w:pPr>
              <w:pStyle w:val="ListParagraph"/>
              <w:numPr>
                <w:ilvl w:val="0"/>
                <w:numId w:val="43"/>
              </w:numPr>
              <w:spacing w:before="120" w:after="120"/>
            </w:pPr>
            <w:r>
              <w:t xml:space="preserve">Communication may be done through posting on safety boards, direct communication, email correspondence or communication through safety meetings.  </w:t>
            </w:r>
          </w:p>
          <w:p w14:paraId="1E790461" w14:textId="4E98EB91" w:rsidR="00511261" w:rsidRPr="00511261" w:rsidRDefault="00511261" w:rsidP="00F468D7">
            <w:pPr>
              <w:pStyle w:val="ListParagraph"/>
              <w:numPr>
                <w:ilvl w:val="0"/>
                <w:numId w:val="43"/>
              </w:numPr>
              <w:spacing w:before="120" w:after="120"/>
            </w:pPr>
            <w:r w:rsidRPr="00511261">
              <w:t xml:space="preserve">Minor reviews to existing documents do not need to be communicated to all staff. </w:t>
            </w:r>
          </w:p>
          <w:p w14:paraId="764B8E3F" w14:textId="757BA9B9" w:rsidR="00F468D7" w:rsidRDefault="00511261" w:rsidP="00F468D7">
            <w:pPr>
              <w:spacing w:before="120" w:after="120"/>
            </w:pPr>
            <w:r w:rsidRPr="00511261">
              <w:t>Emergency Information</w:t>
            </w:r>
            <w:r w:rsidR="00F468D7">
              <w:t>:</w:t>
            </w:r>
            <w:r w:rsidRPr="00511261">
              <w:t xml:space="preserve"> </w:t>
            </w:r>
          </w:p>
          <w:p w14:paraId="3F60ACE8" w14:textId="27E77A4C" w:rsidR="00511261" w:rsidRPr="00511261" w:rsidRDefault="00511261" w:rsidP="00F468D7">
            <w:pPr>
              <w:pStyle w:val="ListParagraph"/>
              <w:numPr>
                <w:ilvl w:val="0"/>
                <w:numId w:val="43"/>
              </w:numPr>
              <w:spacing w:before="120" w:after="120"/>
            </w:pPr>
            <w:r w:rsidRPr="00511261">
              <w:t xml:space="preserve">Emergency Information must be communicated in a timely manner in the most appropriate method available and may include the following: </w:t>
            </w:r>
          </w:p>
          <w:p w14:paraId="7AD625E1" w14:textId="0D9EFCEE" w:rsidR="00511261" w:rsidRPr="00F468D7" w:rsidRDefault="00511261" w:rsidP="00F468D7">
            <w:pPr>
              <w:pStyle w:val="ListParagraph"/>
              <w:numPr>
                <w:ilvl w:val="1"/>
                <w:numId w:val="43"/>
              </w:numPr>
              <w:autoSpaceDE w:val="0"/>
              <w:autoSpaceDN w:val="0"/>
              <w:adjustRightInd w:val="0"/>
              <w:spacing w:after="100"/>
              <w:rPr>
                <w:rFonts w:cstheme="minorHAnsi"/>
                <w:szCs w:val="20"/>
                <w:lang w:val="en-US"/>
              </w:rPr>
            </w:pPr>
            <w:r w:rsidRPr="00F468D7">
              <w:rPr>
                <w:rFonts w:cstheme="minorHAnsi"/>
                <w:szCs w:val="20"/>
                <w:lang w:val="en-US"/>
              </w:rPr>
              <w:t xml:space="preserve">Mobile phone or landline; </w:t>
            </w:r>
          </w:p>
          <w:p w14:paraId="047834A2" w14:textId="268BC6E8" w:rsidR="00511261" w:rsidRPr="00F468D7" w:rsidRDefault="00F468D7" w:rsidP="00F468D7">
            <w:pPr>
              <w:pStyle w:val="ListParagraph"/>
              <w:numPr>
                <w:ilvl w:val="1"/>
                <w:numId w:val="43"/>
              </w:numPr>
              <w:autoSpaceDE w:val="0"/>
              <w:autoSpaceDN w:val="0"/>
              <w:adjustRightInd w:val="0"/>
              <w:spacing w:after="100"/>
              <w:rPr>
                <w:rFonts w:cstheme="minorHAnsi"/>
                <w:szCs w:val="20"/>
                <w:lang w:val="en-US"/>
              </w:rPr>
            </w:pPr>
            <w:r>
              <w:rPr>
                <w:rFonts w:cstheme="minorHAnsi"/>
                <w:szCs w:val="20"/>
                <w:lang w:val="en-US"/>
              </w:rPr>
              <w:t>Plant-wide communication/speaker system</w:t>
            </w:r>
            <w:r w:rsidR="00511261" w:rsidRPr="00F468D7">
              <w:rPr>
                <w:rFonts w:cstheme="minorHAnsi"/>
                <w:szCs w:val="20"/>
                <w:lang w:val="en-US"/>
              </w:rPr>
              <w:t xml:space="preserve">; </w:t>
            </w:r>
          </w:p>
          <w:p w14:paraId="1287E320" w14:textId="412FDA18" w:rsidR="00511261" w:rsidRPr="00F468D7" w:rsidRDefault="00511261" w:rsidP="00F468D7">
            <w:pPr>
              <w:pStyle w:val="ListParagraph"/>
              <w:numPr>
                <w:ilvl w:val="1"/>
                <w:numId w:val="43"/>
              </w:numPr>
              <w:autoSpaceDE w:val="0"/>
              <w:autoSpaceDN w:val="0"/>
              <w:adjustRightInd w:val="0"/>
              <w:spacing w:after="100"/>
              <w:rPr>
                <w:rFonts w:cstheme="minorHAnsi"/>
                <w:szCs w:val="20"/>
                <w:lang w:val="en-US"/>
              </w:rPr>
            </w:pPr>
            <w:r w:rsidRPr="00F468D7">
              <w:rPr>
                <w:rFonts w:cstheme="minorHAnsi"/>
                <w:szCs w:val="20"/>
                <w:lang w:val="en-US"/>
              </w:rPr>
              <w:t>2</w:t>
            </w:r>
            <w:r w:rsidR="00F468D7">
              <w:rPr>
                <w:rFonts w:cstheme="minorHAnsi"/>
                <w:szCs w:val="20"/>
                <w:lang w:val="en-US"/>
              </w:rPr>
              <w:t>-</w:t>
            </w:r>
            <w:r w:rsidRPr="00F468D7">
              <w:rPr>
                <w:rFonts w:cstheme="minorHAnsi"/>
                <w:szCs w:val="20"/>
                <w:lang w:val="en-US"/>
              </w:rPr>
              <w:t xml:space="preserve">way radio or UHF communication devices; </w:t>
            </w:r>
            <w:r w:rsidR="00F468D7">
              <w:rPr>
                <w:rFonts w:cstheme="minorHAnsi"/>
                <w:szCs w:val="20"/>
                <w:lang w:val="en-US"/>
              </w:rPr>
              <w:t>or,</w:t>
            </w:r>
          </w:p>
          <w:p w14:paraId="022105EA" w14:textId="7F7E35EB" w:rsidR="00511261" w:rsidRPr="00F468D7" w:rsidRDefault="00511261" w:rsidP="00F468D7">
            <w:pPr>
              <w:pStyle w:val="ListParagraph"/>
              <w:numPr>
                <w:ilvl w:val="1"/>
                <w:numId w:val="43"/>
              </w:numPr>
              <w:autoSpaceDE w:val="0"/>
              <w:autoSpaceDN w:val="0"/>
              <w:adjustRightInd w:val="0"/>
              <w:spacing w:after="100"/>
              <w:rPr>
                <w:rFonts w:cstheme="minorHAnsi"/>
                <w:szCs w:val="20"/>
                <w:lang w:val="en-US"/>
              </w:rPr>
            </w:pPr>
            <w:r w:rsidRPr="00F468D7">
              <w:rPr>
                <w:rFonts w:cstheme="minorHAnsi"/>
                <w:szCs w:val="20"/>
                <w:lang w:val="en-US"/>
              </w:rPr>
              <w:t>Audible and visual alarms (fire alarm, gas detector alarms)</w:t>
            </w:r>
            <w:r w:rsidR="00F468D7">
              <w:rPr>
                <w:rFonts w:cstheme="minorHAnsi"/>
                <w:szCs w:val="20"/>
                <w:lang w:val="en-US"/>
              </w:rPr>
              <w:t>.</w:t>
            </w:r>
            <w:r w:rsidRPr="00F468D7">
              <w:rPr>
                <w:rFonts w:cstheme="minorHAnsi"/>
                <w:szCs w:val="20"/>
                <w:lang w:val="en-US"/>
              </w:rPr>
              <w:t xml:space="preserve"> </w:t>
            </w:r>
          </w:p>
          <w:p w14:paraId="008643C2" w14:textId="6834092E" w:rsidR="00ED4501" w:rsidRPr="003E4103" w:rsidRDefault="00F468D7" w:rsidP="00511261">
            <w:pPr>
              <w:pStyle w:val="ListParagraph"/>
              <w:numPr>
                <w:ilvl w:val="0"/>
                <w:numId w:val="43"/>
              </w:numPr>
              <w:spacing w:before="120" w:after="120"/>
            </w:pPr>
            <w:r w:rsidRPr="00F468D7">
              <w:lastRenderedPageBreak/>
              <w:t>Further details are included in the Emergency Prevention and Preparedness and Emergency Response Procedures.</w:t>
            </w:r>
            <w:bookmarkStart w:id="1" w:name="_GoBack"/>
            <w:bookmarkEnd w:id="1"/>
          </w:p>
        </w:tc>
      </w:tr>
      <w:tr w:rsidR="0065415B" w14:paraId="07010BFD" w14:textId="77777777" w:rsidTr="0065415B">
        <w:tc>
          <w:tcPr>
            <w:tcW w:w="9350" w:type="dxa"/>
            <w:gridSpan w:val="3"/>
            <w:shd w:val="clear" w:color="auto" w:fill="D0CECE" w:themeFill="background2" w:themeFillShade="E6"/>
          </w:tcPr>
          <w:p w14:paraId="7EFB3A85" w14:textId="77777777" w:rsidR="0065415B" w:rsidRDefault="0065415B" w:rsidP="006541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CHANGES TRACKING</w:t>
            </w:r>
          </w:p>
        </w:tc>
      </w:tr>
      <w:tr w:rsidR="0065415B" w14:paraId="63D51538" w14:textId="77777777" w:rsidTr="0065415B">
        <w:tc>
          <w:tcPr>
            <w:tcW w:w="4675" w:type="dxa"/>
            <w:gridSpan w:val="2"/>
            <w:shd w:val="clear" w:color="auto" w:fill="D0CECE" w:themeFill="background2" w:themeFillShade="E6"/>
          </w:tcPr>
          <w:p w14:paraId="4E358C33" w14:textId="77777777" w:rsidR="0065415B" w:rsidRDefault="0065415B" w:rsidP="006541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DETAILS OF CHANGES</w:t>
            </w:r>
          </w:p>
        </w:tc>
        <w:tc>
          <w:tcPr>
            <w:tcW w:w="4675" w:type="dxa"/>
            <w:shd w:val="clear" w:color="auto" w:fill="D0CECE" w:themeFill="background2" w:themeFillShade="E6"/>
          </w:tcPr>
          <w:p w14:paraId="77506F91" w14:textId="77777777" w:rsidR="0065415B" w:rsidRDefault="0065415B" w:rsidP="006541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 CHANGED</w:t>
            </w:r>
          </w:p>
        </w:tc>
      </w:tr>
      <w:tr w:rsidR="0065415B" w14:paraId="6A1E66C1" w14:textId="77777777" w:rsidTr="0065415B">
        <w:tc>
          <w:tcPr>
            <w:tcW w:w="4675" w:type="dxa"/>
            <w:gridSpan w:val="2"/>
          </w:tcPr>
          <w:p w14:paraId="009BF5D1" w14:textId="77777777" w:rsidR="0065415B" w:rsidRDefault="0065415B" w:rsidP="0065415B">
            <w:pPr>
              <w:rPr>
                <w:b/>
                <w:sz w:val="24"/>
              </w:rPr>
            </w:pPr>
          </w:p>
        </w:tc>
        <w:tc>
          <w:tcPr>
            <w:tcW w:w="4675" w:type="dxa"/>
          </w:tcPr>
          <w:p w14:paraId="7A31F8B0" w14:textId="77777777" w:rsidR="0065415B" w:rsidRDefault="0065415B" w:rsidP="0065415B">
            <w:pPr>
              <w:rPr>
                <w:b/>
                <w:sz w:val="24"/>
              </w:rPr>
            </w:pPr>
          </w:p>
        </w:tc>
      </w:tr>
      <w:tr w:rsidR="0065415B" w14:paraId="33C72251" w14:textId="77777777" w:rsidTr="0065415B">
        <w:tc>
          <w:tcPr>
            <w:tcW w:w="4675" w:type="dxa"/>
            <w:gridSpan w:val="2"/>
          </w:tcPr>
          <w:p w14:paraId="2B58F85E" w14:textId="77777777" w:rsidR="0065415B" w:rsidRDefault="0065415B" w:rsidP="0065415B">
            <w:pPr>
              <w:rPr>
                <w:b/>
                <w:sz w:val="24"/>
              </w:rPr>
            </w:pPr>
          </w:p>
        </w:tc>
        <w:tc>
          <w:tcPr>
            <w:tcW w:w="4675" w:type="dxa"/>
          </w:tcPr>
          <w:p w14:paraId="0F3D0A77" w14:textId="77777777" w:rsidR="0065415B" w:rsidRDefault="0065415B" w:rsidP="0065415B">
            <w:pPr>
              <w:rPr>
                <w:b/>
                <w:sz w:val="24"/>
              </w:rPr>
            </w:pPr>
          </w:p>
        </w:tc>
      </w:tr>
    </w:tbl>
    <w:p w14:paraId="797C41E8" w14:textId="77777777" w:rsidR="0065415B" w:rsidRDefault="0065415B" w:rsidP="0065415B">
      <w:pPr>
        <w:rPr>
          <w:b/>
          <w:sz w:val="24"/>
        </w:rPr>
      </w:pPr>
    </w:p>
    <w:p w14:paraId="1C7BC60B" w14:textId="77777777" w:rsidR="00A81C8A" w:rsidRPr="0065415B" w:rsidRDefault="00A81C8A" w:rsidP="0065415B">
      <w:pPr>
        <w:rPr>
          <w:b/>
          <w:sz w:val="24"/>
        </w:rPr>
      </w:pPr>
    </w:p>
    <w:sectPr w:rsidR="00A81C8A" w:rsidRPr="0065415B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EF06F9" w14:textId="77777777" w:rsidR="00E837BB" w:rsidRDefault="00E837BB" w:rsidP="00275413">
      <w:pPr>
        <w:spacing w:after="0" w:line="240" w:lineRule="auto"/>
      </w:pPr>
      <w:r>
        <w:separator/>
      </w:r>
    </w:p>
  </w:endnote>
  <w:endnote w:type="continuationSeparator" w:id="0">
    <w:p w14:paraId="14BF05CD" w14:textId="77777777" w:rsidR="00E837BB" w:rsidRDefault="00E837BB" w:rsidP="00275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9EF24" w14:textId="2A579646" w:rsidR="00275413" w:rsidRDefault="00421A2F" w:rsidP="00275413">
    <w:pPr>
      <w:pStyle w:val="Footer"/>
    </w:pPr>
    <w:r>
      <w:t>Health and Safety Communication</w:t>
    </w:r>
    <w:r w:rsidR="00275413">
      <w:tab/>
    </w:r>
    <w:r w:rsidR="00275413">
      <w:tab/>
    </w:r>
    <w:sdt>
      <w:sdtPr>
        <w:id w:val="-196071635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275413">
          <w:fldChar w:fldCharType="begin"/>
        </w:r>
        <w:r w:rsidR="00275413">
          <w:instrText xml:space="preserve"> PAGE   \* MERGEFORMAT </w:instrText>
        </w:r>
        <w:r w:rsidR="00275413">
          <w:fldChar w:fldCharType="separate"/>
        </w:r>
        <w:r w:rsidR="00BE138E">
          <w:rPr>
            <w:noProof/>
          </w:rPr>
          <w:t>2</w:t>
        </w:r>
        <w:r w:rsidR="00275413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3DC970" w14:textId="77777777" w:rsidR="00E837BB" w:rsidRDefault="00E837BB" w:rsidP="00275413">
      <w:pPr>
        <w:spacing w:after="0" w:line="240" w:lineRule="auto"/>
      </w:pPr>
      <w:r>
        <w:separator/>
      </w:r>
    </w:p>
  </w:footnote>
  <w:footnote w:type="continuationSeparator" w:id="0">
    <w:p w14:paraId="5DF2ED92" w14:textId="77777777" w:rsidR="00E837BB" w:rsidRDefault="00E837BB" w:rsidP="002754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617DD"/>
    <w:multiLevelType w:val="hybridMultilevel"/>
    <w:tmpl w:val="57D86438"/>
    <w:lvl w:ilvl="0" w:tplc="7364287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91A53"/>
    <w:multiLevelType w:val="hybridMultilevel"/>
    <w:tmpl w:val="CCFC75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E203C"/>
    <w:multiLevelType w:val="hybridMultilevel"/>
    <w:tmpl w:val="CEEE0F1C"/>
    <w:lvl w:ilvl="0" w:tplc="F576423C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C12D1"/>
    <w:multiLevelType w:val="hybridMultilevel"/>
    <w:tmpl w:val="3D147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FE516B"/>
    <w:multiLevelType w:val="hybridMultilevel"/>
    <w:tmpl w:val="5A888D30"/>
    <w:lvl w:ilvl="0" w:tplc="08BA32D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4FA0420">
      <w:start w:val="1"/>
      <w:numFmt w:val="bullet"/>
      <w:lvlText w:val="─"/>
      <w:lvlJc w:val="left"/>
      <w:pPr>
        <w:ind w:left="144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D75E56"/>
    <w:multiLevelType w:val="hybridMultilevel"/>
    <w:tmpl w:val="BE3C90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894B03"/>
    <w:multiLevelType w:val="hybridMultilevel"/>
    <w:tmpl w:val="22EAAFB0"/>
    <w:lvl w:ilvl="0" w:tplc="08BA32D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A46344"/>
    <w:multiLevelType w:val="hybridMultilevel"/>
    <w:tmpl w:val="F62C9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DA78F7"/>
    <w:multiLevelType w:val="hybridMultilevel"/>
    <w:tmpl w:val="9508F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050491"/>
    <w:multiLevelType w:val="hybridMultilevel"/>
    <w:tmpl w:val="D578F7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0E40A5"/>
    <w:multiLevelType w:val="hybridMultilevel"/>
    <w:tmpl w:val="7108B2D6"/>
    <w:lvl w:ilvl="0" w:tplc="08BA32D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737534"/>
    <w:multiLevelType w:val="hybridMultilevel"/>
    <w:tmpl w:val="4A448388"/>
    <w:lvl w:ilvl="0" w:tplc="7364287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7450DA"/>
    <w:multiLevelType w:val="multilevel"/>
    <w:tmpl w:val="16C4D28A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 w15:restartNumberingAfterBreak="0">
    <w:nsid w:val="19C712C6"/>
    <w:multiLevelType w:val="hybridMultilevel"/>
    <w:tmpl w:val="B148A2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815AC3"/>
    <w:multiLevelType w:val="hybridMultilevel"/>
    <w:tmpl w:val="753C22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95540B"/>
    <w:multiLevelType w:val="hybridMultilevel"/>
    <w:tmpl w:val="D1DC9562"/>
    <w:lvl w:ilvl="0" w:tplc="08BA32D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E200DF"/>
    <w:multiLevelType w:val="hybridMultilevel"/>
    <w:tmpl w:val="0D560EAC"/>
    <w:lvl w:ilvl="0" w:tplc="7364287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C01403"/>
    <w:multiLevelType w:val="hybridMultilevel"/>
    <w:tmpl w:val="40C06DBC"/>
    <w:lvl w:ilvl="0" w:tplc="08BA32D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0E3BCA"/>
    <w:multiLevelType w:val="hybridMultilevel"/>
    <w:tmpl w:val="A2922FB4"/>
    <w:lvl w:ilvl="0" w:tplc="0C1849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20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2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4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6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8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0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2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44" w:hanging="360"/>
      </w:pPr>
      <w:rPr>
        <w:rFonts w:ascii="Wingdings" w:hAnsi="Wingdings" w:hint="default"/>
      </w:rPr>
    </w:lvl>
  </w:abstractNum>
  <w:abstractNum w:abstractNumId="19" w15:restartNumberingAfterBreak="0">
    <w:nsid w:val="29F14FE8"/>
    <w:multiLevelType w:val="hybridMultilevel"/>
    <w:tmpl w:val="773EEC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950C40"/>
    <w:multiLevelType w:val="hybridMultilevel"/>
    <w:tmpl w:val="58505A98"/>
    <w:lvl w:ilvl="0" w:tplc="7364287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986BA2"/>
    <w:multiLevelType w:val="hybridMultilevel"/>
    <w:tmpl w:val="846CBF58"/>
    <w:lvl w:ilvl="0" w:tplc="7364287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FD32B3"/>
    <w:multiLevelType w:val="hybridMultilevel"/>
    <w:tmpl w:val="F9CCB644"/>
    <w:lvl w:ilvl="0" w:tplc="7364287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857AAD"/>
    <w:multiLevelType w:val="hybridMultilevel"/>
    <w:tmpl w:val="559EEF1C"/>
    <w:lvl w:ilvl="0" w:tplc="62000ED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6A0AB3"/>
    <w:multiLevelType w:val="hybridMultilevel"/>
    <w:tmpl w:val="3B30EF3E"/>
    <w:lvl w:ilvl="0" w:tplc="7364287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4B09C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3B416304"/>
    <w:multiLevelType w:val="hybridMultilevel"/>
    <w:tmpl w:val="3FE21A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FA0420">
      <w:start w:val="1"/>
      <w:numFmt w:val="bullet"/>
      <w:lvlText w:val="─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AB111B"/>
    <w:multiLevelType w:val="hybridMultilevel"/>
    <w:tmpl w:val="C99E3C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44616A"/>
    <w:multiLevelType w:val="hybridMultilevel"/>
    <w:tmpl w:val="CB40CEDA"/>
    <w:lvl w:ilvl="0" w:tplc="7364287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61390D"/>
    <w:multiLevelType w:val="hybridMultilevel"/>
    <w:tmpl w:val="DB667EE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0935C89"/>
    <w:multiLevelType w:val="multilevel"/>
    <w:tmpl w:val="7936939A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5C64562"/>
    <w:multiLevelType w:val="hybridMultilevel"/>
    <w:tmpl w:val="CAEC70B0"/>
    <w:lvl w:ilvl="0" w:tplc="08BA32D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5C2882"/>
    <w:multiLevelType w:val="hybridMultilevel"/>
    <w:tmpl w:val="B48281F6"/>
    <w:lvl w:ilvl="0" w:tplc="5BFE7C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66AB26">
      <w:start w:val="1"/>
      <w:numFmt w:val="bullet"/>
      <w:lvlText w:val=""/>
      <w:lvlJc w:val="left"/>
      <w:pPr>
        <w:ind w:left="1204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192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4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6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8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0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2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44" w:hanging="360"/>
      </w:pPr>
      <w:rPr>
        <w:rFonts w:ascii="Wingdings" w:hAnsi="Wingdings" w:hint="default"/>
      </w:rPr>
    </w:lvl>
  </w:abstractNum>
  <w:abstractNum w:abstractNumId="33" w15:restartNumberingAfterBreak="0">
    <w:nsid w:val="62DD7916"/>
    <w:multiLevelType w:val="multilevel"/>
    <w:tmpl w:val="31FC080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4" w15:restartNumberingAfterBreak="0">
    <w:nsid w:val="65720789"/>
    <w:multiLevelType w:val="hybridMultilevel"/>
    <w:tmpl w:val="5636F180"/>
    <w:lvl w:ilvl="0" w:tplc="F576423C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4B123D"/>
    <w:multiLevelType w:val="hybridMultilevel"/>
    <w:tmpl w:val="BF164F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DE1156"/>
    <w:multiLevelType w:val="hybridMultilevel"/>
    <w:tmpl w:val="732485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F11CD2"/>
    <w:multiLevelType w:val="hybridMultilevel"/>
    <w:tmpl w:val="B8D419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0F234A"/>
    <w:multiLevelType w:val="hybridMultilevel"/>
    <w:tmpl w:val="28849B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7573C3"/>
    <w:multiLevelType w:val="hybridMultilevel"/>
    <w:tmpl w:val="C4F479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674E22"/>
    <w:multiLevelType w:val="hybridMultilevel"/>
    <w:tmpl w:val="7F382DB8"/>
    <w:lvl w:ilvl="0" w:tplc="7364287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8B3845"/>
    <w:multiLevelType w:val="hybridMultilevel"/>
    <w:tmpl w:val="D7F0B1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9070CF"/>
    <w:multiLevelType w:val="hybridMultilevel"/>
    <w:tmpl w:val="E04C4CF4"/>
    <w:lvl w:ilvl="0" w:tplc="08BA32D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4FA0420">
      <w:start w:val="1"/>
      <w:numFmt w:val="bullet"/>
      <w:lvlText w:val="─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1"/>
  </w:num>
  <w:num w:numId="3">
    <w:abstractNumId w:val="18"/>
  </w:num>
  <w:num w:numId="4">
    <w:abstractNumId w:val="32"/>
  </w:num>
  <w:num w:numId="5">
    <w:abstractNumId w:val="10"/>
  </w:num>
  <w:num w:numId="6">
    <w:abstractNumId w:val="6"/>
  </w:num>
  <w:num w:numId="7">
    <w:abstractNumId w:val="15"/>
  </w:num>
  <w:num w:numId="8">
    <w:abstractNumId w:val="17"/>
  </w:num>
  <w:num w:numId="9">
    <w:abstractNumId w:val="42"/>
  </w:num>
  <w:num w:numId="10">
    <w:abstractNumId w:val="35"/>
  </w:num>
  <w:num w:numId="11">
    <w:abstractNumId w:val="41"/>
  </w:num>
  <w:num w:numId="12">
    <w:abstractNumId w:val="38"/>
  </w:num>
  <w:num w:numId="13">
    <w:abstractNumId w:val="1"/>
  </w:num>
  <w:num w:numId="14">
    <w:abstractNumId w:val="39"/>
  </w:num>
  <w:num w:numId="15">
    <w:abstractNumId w:val="14"/>
  </w:num>
  <w:num w:numId="16">
    <w:abstractNumId w:val="4"/>
  </w:num>
  <w:num w:numId="17">
    <w:abstractNumId w:val="25"/>
  </w:num>
  <w:num w:numId="18">
    <w:abstractNumId w:val="29"/>
  </w:num>
  <w:num w:numId="19">
    <w:abstractNumId w:val="30"/>
  </w:num>
  <w:num w:numId="20">
    <w:abstractNumId w:val="19"/>
  </w:num>
  <w:num w:numId="21">
    <w:abstractNumId w:val="22"/>
  </w:num>
  <w:num w:numId="22">
    <w:abstractNumId w:val="20"/>
  </w:num>
  <w:num w:numId="23">
    <w:abstractNumId w:val="24"/>
  </w:num>
  <w:num w:numId="24">
    <w:abstractNumId w:val="16"/>
  </w:num>
  <w:num w:numId="25">
    <w:abstractNumId w:val="33"/>
  </w:num>
  <w:num w:numId="26">
    <w:abstractNumId w:val="12"/>
  </w:num>
  <w:num w:numId="27">
    <w:abstractNumId w:val="0"/>
  </w:num>
  <w:num w:numId="28">
    <w:abstractNumId w:val="28"/>
  </w:num>
  <w:num w:numId="29">
    <w:abstractNumId w:val="40"/>
  </w:num>
  <w:num w:numId="30">
    <w:abstractNumId w:val="11"/>
  </w:num>
  <w:num w:numId="31">
    <w:abstractNumId w:val="23"/>
  </w:num>
  <w:num w:numId="32">
    <w:abstractNumId w:val="21"/>
  </w:num>
  <w:num w:numId="33">
    <w:abstractNumId w:val="5"/>
  </w:num>
  <w:num w:numId="34">
    <w:abstractNumId w:val="26"/>
  </w:num>
  <w:num w:numId="35">
    <w:abstractNumId w:val="27"/>
  </w:num>
  <w:num w:numId="36">
    <w:abstractNumId w:val="13"/>
  </w:num>
  <w:num w:numId="37">
    <w:abstractNumId w:val="9"/>
  </w:num>
  <w:num w:numId="38">
    <w:abstractNumId w:val="36"/>
  </w:num>
  <w:num w:numId="39">
    <w:abstractNumId w:val="7"/>
  </w:num>
  <w:num w:numId="40">
    <w:abstractNumId w:val="3"/>
  </w:num>
  <w:num w:numId="41">
    <w:abstractNumId w:val="34"/>
  </w:num>
  <w:num w:numId="42">
    <w:abstractNumId w:val="2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15B"/>
    <w:rsid w:val="00015881"/>
    <w:rsid w:val="0002322D"/>
    <w:rsid w:val="00033AE6"/>
    <w:rsid w:val="0007446B"/>
    <w:rsid w:val="00077489"/>
    <w:rsid w:val="00081F40"/>
    <w:rsid w:val="000C0BCB"/>
    <w:rsid w:val="000D0839"/>
    <w:rsid w:val="000E5180"/>
    <w:rsid w:val="0014566F"/>
    <w:rsid w:val="001476FA"/>
    <w:rsid w:val="00166310"/>
    <w:rsid w:val="0017121F"/>
    <w:rsid w:val="001937CA"/>
    <w:rsid w:val="001F02D6"/>
    <w:rsid w:val="0025474D"/>
    <w:rsid w:val="00275413"/>
    <w:rsid w:val="002D4031"/>
    <w:rsid w:val="002D5077"/>
    <w:rsid w:val="003002D2"/>
    <w:rsid w:val="00314B1F"/>
    <w:rsid w:val="00393DC4"/>
    <w:rsid w:val="003A564E"/>
    <w:rsid w:val="003E4103"/>
    <w:rsid w:val="003F2BC8"/>
    <w:rsid w:val="00421A2F"/>
    <w:rsid w:val="0044550A"/>
    <w:rsid w:val="004F7942"/>
    <w:rsid w:val="00504EFB"/>
    <w:rsid w:val="00507D31"/>
    <w:rsid w:val="00511261"/>
    <w:rsid w:val="00531C4A"/>
    <w:rsid w:val="00550276"/>
    <w:rsid w:val="00583B9F"/>
    <w:rsid w:val="00584E32"/>
    <w:rsid w:val="005A4691"/>
    <w:rsid w:val="005C7983"/>
    <w:rsid w:val="005F5C42"/>
    <w:rsid w:val="00612AE4"/>
    <w:rsid w:val="00622538"/>
    <w:rsid w:val="00625D9D"/>
    <w:rsid w:val="00626B49"/>
    <w:rsid w:val="00651547"/>
    <w:rsid w:val="006531F5"/>
    <w:rsid w:val="0065415B"/>
    <w:rsid w:val="006552BA"/>
    <w:rsid w:val="006727FB"/>
    <w:rsid w:val="00695284"/>
    <w:rsid w:val="006B0569"/>
    <w:rsid w:val="006C3266"/>
    <w:rsid w:val="006C7B43"/>
    <w:rsid w:val="00741AA5"/>
    <w:rsid w:val="00745C67"/>
    <w:rsid w:val="00753516"/>
    <w:rsid w:val="00757C12"/>
    <w:rsid w:val="007825D6"/>
    <w:rsid w:val="007A355E"/>
    <w:rsid w:val="00822714"/>
    <w:rsid w:val="0082394C"/>
    <w:rsid w:val="00845CDD"/>
    <w:rsid w:val="008B269E"/>
    <w:rsid w:val="008D3F13"/>
    <w:rsid w:val="00907C03"/>
    <w:rsid w:val="00914A02"/>
    <w:rsid w:val="00954E05"/>
    <w:rsid w:val="009669E8"/>
    <w:rsid w:val="009C51DB"/>
    <w:rsid w:val="00A01EE2"/>
    <w:rsid w:val="00A20C4F"/>
    <w:rsid w:val="00A22FA7"/>
    <w:rsid w:val="00A25A3A"/>
    <w:rsid w:val="00A81C8A"/>
    <w:rsid w:val="00B578C8"/>
    <w:rsid w:val="00B91293"/>
    <w:rsid w:val="00B928C8"/>
    <w:rsid w:val="00BC394F"/>
    <w:rsid w:val="00BE138E"/>
    <w:rsid w:val="00C80028"/>
    <w:rsid w:val="00C82122"/>
    <w:rsid w:val="00C96706"/>
    <w:rsid w:val="00D20EDD"/>
    <w:rsid w:val="00D47ACF"/>
    <w:rsid w:val="00D634A7"/>
    <w:rsid w:val="00D7637D"/>
    <w:rsid w:val="00DE53FB"/>
    <w:rsid w:val="00DE6E93"/>
    <w:rsid w:val="00E165BF"/>
    <w:rsid w:val="00E325A8"/>
    <w:rsid w:val="00E36B85"/>
    <w:rsid w:val="00E837BB"/>
    <w:rsid w:val="00ED4501"/>
    <w:rsid w:val="00F468D7"/>
    <w:rsid w:val="00F7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2FDAC5"/>
  <w15:chartTrackingRefBased/>
  <w15:docId w15:val="{58E6C59F-A67C-4458-9748-BF10E05C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002D2"/>
    <w:pPr>
      <w:keepNext/>
      <w:keepLines/>
      <w:numPr>
        <w:numId w:val="19"/>
      </w:numPr>
      <w:spacing w:before="120" w:after="0" w:line="240" w:lineRule="auto"/>
      <w:outlineLvl w:val="0"/>
    </w:pPr>
    <w:rPr>
      <w:rFonts w:ascii="Times New Roman" w:eastAsia="Times New Roman" w:hAnsi="Times New Roman" w:cstheme="minorHAnsi"/>
      <w:b/>
      <w:bCs/>
      <w:color w:val="0065C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3AE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33AE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33AE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4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41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4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15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75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413"/>
  </w:style>
  <w:style w:type="paragraph" w:styleId="Footer">
    <w:name w:val="footer"/>
    <w:basedOn w:val="Normal"/>
    <w:link w:val="FooterChar"/>
    <w:uiPriority w:val="99"/>
    <w:unhideWhenUsed/>
    <w:rsid w:val="00275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413"/>
  </w:style>
  <w:style w:type="character" w:styleId="CommentReference">
    <w:name w:val="annotation reference"/>
    <w:basedOn w:val="DefaultParagraphFont"/>
    <w:uiPriority w:val="99"/>
    <w:semiHidden/>
    <w:unhideWhenUsed/>
    <w:rsid w:val="00584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4E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4E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4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4E3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36B85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3002D2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3002D2"/>
    <w:rPr>
      <w:rFonts w:ascii="Times New Roman" w:eastAsia="Times New Roman" w:hAnsi="Times New Roman" w:cstheme="minorHAnsi"/>
      <w:b/>
      <w:bCs/>
      <w:color w:val="0065C3"/>
      <w:sz w:val="28"/>
      <w:szCs w:val="28"/>
    </w:rPr>
  </w:style>
  <w:style w:type="paragraph" w:styleId="NoSpacing">
    <w:name w:val="No Spacing"/>
    <w:uiPriority w:val="1"/>
    <w:qFormat/>
    <w:rsid w:val="003002D2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3AE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3AE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3AE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Default">
    <w:name w:val="Default"/>
    <w:rsid w:val="007535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definition">
    <w:name w:val="definition"/>
    <w:basedOn w:val="Normal"/>
    <w:rsid w:val="00A25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aragraph">
    <w:name w:val="paragraph"/>
    <w:basedOn w:val="Normal"/>
    <w:rsid w:val="00A25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7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Dragun</dc:creator>
  <cp:keywords/>
  <dc:description/>
  <cp:lastModifiedBy>Scolaro, Lisa</cp:lastModifiedBy>
  <cp:revision>33</cp:revision>
  <dcterms:created xsi:type="dcterms:W3CDTF">2019-09-05T22:26:00Z</dcterms:created>
  <dcterms:modified xsi:type="dcterms:W3CDTF">2019-09-15T18:44:00Z</dcterms:modified>
</cp:coreProperties>
</file>