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2A94" w14:textId="414DDCB0" w:rsidR="00907C03" w:rsidRPr="00BB5775" w:rsidRDefault="00D41E31" w:rsidP="0065415B">
      <w:pPr>
        <w:jc w:val="center"/>
        <w:rPr>
          <w:rFonts w:ascii="Arial" w:hAnsi="Arial" w:cs="Arial"/>
          <w:b/>
        </w:rPr>
      </w:pPr>
      <w:r w:rsidRPr="00BB5775">
        <w:rPr>
          <w:rFonts w:ascii="Arial" w:hAnsi="Arial" w:cs="Arial"/>
          <w:b/>
        </w:rPr>
        <w:t>WORKER PARTICIPATION</w:t>
      </w:r>
    </w:p>
    <w:p w14:paraId="42573141" w14:textId="77777777" w:rsidR="0065415B" w:rsidRPr="00BB5775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:rsidRPr="00BB5775" w14:paraId="1241F1BB" w14:textId="77777777" w:rsidTr="0065415B">
        <w:tc>
          <w:tcPr>
            <w:tcW w:w="4675" w:type="dxa"/>
          </w:tcPr>
          <w:p w14:paraId="26095B03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 of Issue: </w:t>
            </w:r>
            <w:r w:rsidRPr="00BB5775">
              <w:rPr>
                <w:rFonts w:ascii="Arial" w:hAnsi="Arial" w:cs="Arial"/>
              </w:rPr>
              <w:t>choose issue date</w:t>
            </w:r>
            <w:r w:rsidRPr="00BB57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Review Date: </w:t>
            </w:r>
            <w:r w:rsidRPr="00BB5775">
              <w:rPr>
                <w:rFonts w:ascii="Arial" w:hAnsi="Arial" w:cs="Arial"/>
              </w:rPr>
              <w:t>choose date for review</w:t>
            </w:r>
          </w:p>
        </w:tc>
      </w:tr>
      <w:tr w:rsidR="0065415B" w:rsidRPr="00BB5775" w14:paraId="12563630" w14:textId="77777777" w:rsidTr="0065415B">
        <w:tc>
          <w:tcPr>
            <w:tcW w:w="4675" w:type="dxa"/>
          </w:tcPr>
          <w:p w14:paraId="06E35852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Written by: </w:t>
            </w:r>
            <w:r w:rsidRPr="00BB5775">
              <w:rPr>
                <w:rFonts w:ascii="Arial" w:hAnsi="Arial" w:cs="Arial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  <w:tr w:rsidR="0065415B" w:rsidRPr="00BB5775" w14:paraId="414FB6DA" w14:textId="77777777" w:rsidTr="0065415B">
        <w:tc>
          <w:tcPr>
            <w:tcW w:w="4675" w:type="dxa"/>
          </w:tcPr>
          <w:p w14:paraId="1069841E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Reviewed by: </w:t>
            </w:r>
            <w:r w:rsidRPr="00BB5775">
              <w:rPr>
                <w:rFonts w:ascii="Arial" w:hAnsi="Arial" w:cs="Arial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  <w:tr w:rsidR="0065415B" w:rsidRPr="00BB5775" w14:paraId="769E2E23" w14:textId="77777777" w:rsidTr="0065415B">
        <w:tc>
          <w:tcPr>
            <w:tcW w:w="4675" w:type="dxa"/>
          </w:tcPr>
          <w:p w14:paraId="2A269D6B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Approved by: </w:t>
            </w:r>
            <w:r w:rsidRPr="00BB5775">
              <w:rPr>
                <w:rFonts w:ascii="Arial" w:hAnsi="Arial" w:cs="Arial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</w:tbl>
    <w:p w14:paraId="2D5CF392" w14:textId="77777777" w:rsidR="0065415B" w:rsidRPr="00BB5775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:rsidRPr="00BB5775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PURPOSE</w:t>
            </w:r>
          </w:p>
        </w:tc>
      </w:tr>
      <w:tr w:rsidR="0065415B" w:rsidRPr="00BB5775" w14:paraId="6B2C3500" w14:textId="77777777" w:rsidTr="0065415B">
        <w:tc>
          <w:tcPr>
            <w:tcW w:w="9350" w:type="dxa"/>
            <w:gridSpan w:val="2"/>
          </w:tcPr>
          <w:p w14:paraId="43F36310" w14:textId="601EA630" w:rsidR="0065415B" w:rsidRPr="00BB5775" w:rsidRDefault="00BB5775" w:rsidP="00B50D29">
            <w:pPr>
              <w:spacing w:before="240" w:after="240"/>
              <w:rPr>
                <w:rFonts w:ascii="Arial" w:hAnsi="Arial" w:cs="Arial"/>
              </w:rPr>
            </w:pPr>
            <w:r w:rsidRPr="00EE16B3">
              <w:rPr>
                <w:rFonts w:ascii="Arial" w:hAnsi="Arial" w:cs="Arial"/>
              </w:rPr>
              <w:t>This standard provides the framework to establish worker participation in the companies Health &amp; Safety Management System</w:t>
            </w:r>
            <w:r w:rsidR="00642499">
              <w:rPr>
                <w:rFonts w:ascii="Arial" w:hAnsi="Arial" w:cs="Arial"/>
              </w:rPr>
              <w:t>, as i</w:t>
            </w:r>
            <w:r w:rsidR="006E3F6E" w:rsidRPr="00EE16B3">
              <w:rPr>
                <w:rFonts w:ascii="Arial" w:hAnsi="Arial" w:cs="Arial"/>
              </w:rPr>
              <w:t>t</w:t>
            </w:r>
            <w:r w:rsidR="007256D5" w:rsidRPr="00EE16B3">
              <w:rPr>
                <w:rFonts w:ascii="Arial" w:hAnsi="Arial" w:cs="Arial"/>
              </w:rPr>
              <w:t xml:space="preserve"> is beneficial</w:t>
            </w:r>
            <w:r w:rsidR="006E3F6E" w:rsidRPr="00EE16B3">
              <w:rPr>
                <w:rFonts w:ascii="Arial" w:hAnsi="Arial" w:cs="Arial"/>
              </w:rPr>
              <w:t xml:space="preserve"> to have workers input and </w:t>
            </w:r>
            <w:r w:rsidR="00EE16B3" w:rsidRPr="00EE16B3">
              <w:rPr>
                <w:rFonts w:ascii="Arial" w:hAnsi="Arial" w:cs="Arial"/>
              </w:rPr>
              <w:t>consideration</w:t>
            </w:r>
            <w:r w:rsidR="00EE16B3">
              <w:rPr>
                <w:rFonts w:ascii="Arial" w:hAnsi="Arial" w:cs="Arial"/>
              </w:rPr>
              <w:t xml:space="preserve">. </w:t>
            </w:r>
            <w:r w:rsidR="00EE16B3" w:rsidRPr="00EE16B3">
              <w:rPr>
                <w:rFonts w:ascii="Arial" w:hAnsi="Arial" w:cs="Arial"/>
              </w:rPr>
              <w:t xml:space="preserve"> The</w:t>
            </w:r>
            <w:r w:rsidRPr="00EE16B3">
              <w:rPr>
                <w:rFonts w:ascii="Arial" w:hAnsi="Arial" w:cs="Arial"/>
              </w:rPr>
              <w:t xml:space="preserve"> internal responsibility system places mutual accountability for health and safety on employers and workers</w:t>
            </w:r>
            <w:r w:rsidR="00642499">
              <w:rPr>
                <w:rFonts w:ascii="Arial" w:hAnsi="Arial" w:cs="Arial"/>
              </w:rPr>
              <w:t>.</w:t>
            </w:r>
          </w:p>
        </w:tc>
      </w:tr>
      <w:tr w:rsidR="0065415B" w:rsidRPr="00BB5775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SCOPE</w:t>
            </w:r>
          </w:p>
        </w:tc>
      </w:tr>
      <w:tr w:rsidR="0065415B" w:rsidRPr="00BB5775" w14:paraId="27F79BEC" w14:textId="77777777" w:rsidTr="0065415B">
        <w:tc>
          <w:tcPr>
            <w:tcW w:w="9350" w:type="dxa"/>
            <w:gridSpan w:val="2"/>
          </w:tcPr>
          <w:p w14:paraId="0FD2E067" w14:textId="0F7663B0" w:rsidR="0065415B" w:rsidRPr="00BB5775" w:rsidRDefault="00BB5775" w:rsidP="00924B1D">
            <w:pPr>
              <w:spacing w:before="240" w:after="240"/>
              <w:rPr>
                <w:rFonts w:ascii="Arial" w:hAnsi="Arial" w:cs="Arial"/>
              </w:rPr>
            </w:pPr>
            <w:r w:rsidRPr="00BB5775">
              <w:rPr>
                <w:rFonts w:ascii="Arial" w:hAnsi="Arial" w:cs="Arial"/>
              </w:rPr>
              <w:t xml:space="preserve">This procedure applies to all employees, including Senior Management. </w:t>
            </w:r>
          </w:p>
        </w:tc>
      </w:tr>
      <w:tr w:rsidR="0065415B" w:rsidRPr="00BB5775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276450FE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RELATED DOCUMENTATION</w:t>
            </w:r>
          </w:p>
        </w:tc>
      </w:tr>
      <w:tr w:rsidR="0065415B" w:rsidRPr="00BB5775" w14:paraId="3886FA46" w14:textId="77777777" w:rsidTr="0065415B">
        <w:tc>
          <w:tcPr>
            <w:tcW w:w="9350" w:type="dxa"/>
            <w:gridSpan w:val="2"/>
          </w:tcPr>
          <w:p w14:paraId="49D98318" w14:textId="3BA3D390" w:rsidR="00134ED8" w:rsidRPr="00BB5775" w:rsidRDefault="00134ED8" w:rsidP="00EB472A"/>
        </w:tc>
      </w:tr>
      <w:tr w:rsidR="00B50D29" w:rsidRPr="00BB5775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BB5775" w:rsidRDefault="00B50D29" w:rsidP="00B50D29">
            <w:pPr>
              <w:rPr>
                <w:rFonts w:ascii="Arial" w:eastAsia="Cambria" w:hAnsi="Arial" w:cs="Arial"/>
                <w:b/>
                <w:color w:val="000000"/>
              </w:rPr>
            </w:pPr>
            <w:r w:rsidRPr="00BB5775">
              <w:rPr>
                <w:rFonts w:ascii="Arial" w:hAnsi="Arial" w:cs="Arial"/>
                <w:b/>
              </w:rPr>
              <w:t>DEFINITIONS</w:t>
            </w:r>
          </w:p>
        </w:tc>
      </w:tr>
      <w:tr w:rsidR="00F0127F" w:rsidRPr="00BB5775" w14:paraId="2C92A24D" w14:textId="77777777" w:rsidTr="00F0127F">
        <w:tc>
          <w:tcPr>
            <w:tcW w:w="2263" w:type="dxa"/>
          </w:tcPr>
          <w:p w14:paraId="283968EB" w14:textId="26DB987C" w:rsidR="00F0127F" w:rsidRPr="00BB5775" w:rsidRDefault="00BB5775" w:rsidP="00B50D29">
            <w:pPr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Participation</w:t>
            </w:r>
          </w:p>
        </w:tc>
        <w:tc>
          <w:tcPr>
            <w:tcW w:w="7087" w:type="dxa"/>
          </w:tcPr>
          <w:p w14:paraId="3D7AD6E3" w14:textId="4BDB0F35" w:rsidR="00F0127F" w:rsidRPr="00BB5775" w:rsidRDefault="00EE16B3" w:rsidP="00B50D29">
            <w:pPr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P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articipation is about the </w:t>
            </w:r>
            <w:r>
              <w:rPr>
                <w:rFonts w:ascii="Arial" w:eastAsia="Cambria" w:hAnsi="Arial" w:cs="Arial"/>
                <w:color w:val="000000"/>
              </w:rPr>
              <w:t>workers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 being engaged and contributing to the well being of themselves. </w:t>
            </w:r>
            <w:r>
              <w:rPr>
                <w:rFonts w:ascii="Arial" w:eastAsia="Cambria" w:hAnsi="Arial" w:cs="Arial"/>
                <w:color w:val="000000"/>
              </w:rPr>
              <w:t>Workers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 not being on the sidelines or spectators in matters concerning them but actively being part of the process. </w:t>
            </w:r>
          </w:p>
        </w:tc>
      </w:tr>
    </w:tbl>
    <w:p w14:paraId="565E7232" w14:textId="77777777" w:rsidR="00EE16B3" w:rsidRDefault="00EE16B3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:rsidRPr="00BB5775" w14:paraId="64553A0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ROLES &amp; RESPONSIBILITIES</w:t>
            </w:r>
          </w:p>
        </w:tc>
      </w:tr>
      <w:tr w:rsidR="0065415B" w:rsidRPr="00EB472A" w14:paraId="2647305C" w14:textId="77777777" w:rsidTr="00E15590">
        <w:trPr>
          <w:trHeight w:val="1243"/>
        </w:trPr>
        <w:tc>
          <w:tcPr>
            <w:tcW w:w="9350" w:type="dxa"/>
          </w:tcPr>
          <w:p w14:paraId="707A37B3" w14:textId="77777777" w:rsidR="00B06826" w:rsidRPr="00B016D9" w:rsidRDefault="00B06826" w:rsidP="00B06826">
            <w:pPr>
              <w:rPr>
                <w:rFonts w:ascii="Arial" w:hAnsi="Arial" w:cs="Arial"/>
                <w:bCs/>
              </w:rPr>
            </w:pPr>
          </w:p>
          <w:p w14:paraId="5363833C" w14:textId="42A7AF9C" w:rsidR="00D61B2E" w:rsidRPr="00B016D9" w:rsidRDefault="00B06826" w:rsidP="00EB472A">
            <w:pPr>
              <w:rPr>
                <w:rFonts w:ascii="Arial" w:hAnsi="Arial" w:cs="Arial"/>
                <w:bCs/>
              </w:rPr>
            </w:pPr>
            <w:r w:rsidRPr="00B016D9">
              <w:rPr>
                <w:rFonts w:ascii="Arial" w:hAnsi="Arial" w:cs="Arial"/>
                <w:b/>
              </w:rPr>
              <w:t xml:space="preserve">Senior Management </w:t>
            </w:r>
            <w:r w:rsidR="00E54D7D">
              <w:rPr>
                <w:rFonts w:ascii="Arial" w:hAnsi="Arial" w:cs="Arial"/>
                <w:b/>
              </w:rPr>
              <w:t>is encouraged to,</w:t>
            </w:r>
            <w:r w:rsidRPr="00B016D9">
              <w:rPr>
                <w:rFonts w:ascii="Arial" w:hAnsi="Arial" w:cs="Arial"/>
                <w:b/>
              </w:rPr>
              <w:t xml:space="preserve"> </w:t>
            </w:r>
          </w:p>
          <w:p w14:paraId="49CE4CDA" w14:textId="730BC4E5" w:rsidR="00EE16B3" w:rsidRPr="00873A37" w:rsidRDefault="00B016D9" w:rsidP="00873A37">
            <w:pPr>
              <w:ind w:left="360"/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Establish method</w:t>
            </w:r>
            <w:r w:rsidR="00642499" w:rsidRPr="00873A37">
              <w:rPr>
                <w:rFonts w:ascii="Arial" w:hAnsi="Arial" w:cs="Arial"/>
              </w:rPr>
              <w:t>s</w:t>
            </w:r>
            <w:r w:rsidRPr="00873A37">
              <w:rPr>
                <w:rFonts w:ascii="Arial" w:hAnsi="Arial" w:cs="Arial"/>
              </w:rPr>
              <w:t xml:space="preserve"> </w:t>
            </w:r>
            <w:r w:rsidR="00E15590" w:rsidRPr="00873A37">
              <w:rPr>
                <w:rFonts w:ascii="Arial" w:hAnsi="Arial" w:cs="Arial"/>
              </w:rPr>
              <w:t>to increase worker participation in Health and Safety matters within the Health and Safety Management system</w:t>
            </w:r>
            <w:r w:rsidR="00E54D7D" w:rsidRPr="00873A37">
              <w:rPr>
                <w:rFonts w:ascii="Arial" w:hAnsi="Arial" w:cs="Arial"/>
              </w:rPr>
              <w:t xml:space="preserve"> using industry best practises</w:t>
            </w:r>
            <w:r w:rsidR="00E15590" w:rsidRPr="00873A37">
              <w:rPr>
                <w:rFonts w:ascii="Arial" w:hAnsi="Arial" w:cs="Arial"/>
              </w:rPr>
              <w:t>.</w:t>
            </w:r>
          </w:p>
          <w:p w14:paraId="35DE253C" w14:textId="1E09F92F" w:rsidR="00EE16B3" w:rsidRPr="00EB472A" w:rsidRDefault="00EE16B3" w:rsidP="00E15590"/>
        </w:tc>
      </w:tr>
      <w:tr w:rsidR="0065415B" w:rsidRPr="00EB472A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PROCEDURE</w:t>
            </w:r>
          </w:p>
        </w:tc>
      </w:tr>
      <w:tr w:rsidR="0065415B" w:rsidRPr="00EB472A" w14:paraId="13230C03" w14:textId="77777777" w:rsidTr="0065415B">
        <w:tc>
          <w:tcPr>
            <w:tcW w:w="9350" w:type="dxa"/>
          </w:tcPr>
          <w:p w14:paraId="6F512CA0" w14:textId="03353992" w:rsidR="00C42E13" w:rsidRPr="00EB472A" w:rsidRDefault="001454D3" w:rsidP="00EB472A">
            <w:pPr>
              <w:pStyle w:val="yiv2439159957msonormal"/>
              <w:numPr>
                <w:ilvl w:val="0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S</w:t>
            </w:r>
            <w:r w:rsidR="00D61B2E">
              <w:rPr>
                <w:rFonts w:ascii="Arial" w:hAnsi="Arial" w:cs="Arial"/>
                <w:color w:val="1D2228"/>
                <w:sz w:val="22"/>
                <w:szCs w:val="22"/>
              </w:rPr>
              <w:t xml:space="preserve">enior management 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are encouraged to review and implement best practises to foster more worker participation in the companies Health and Safety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System.</w:t>
            </w:r>
          </w:p>
          <w:p w14:paraId="72C6CF95" w14:textId="1FD6F2BE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Direct Worker Consultation</w:t>
            </w:r>
          </w:p>
          <w:p w14:paraId="7D9F21A0" w14:textId="3CF6930A" w:rsidR="001454D3" w:rsidRDefault="001454D3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Management engages with the workers during formal and informal meetings, interviews and discussions about safet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y.  N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otes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should be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 kept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so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the management team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can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>respond in writing to the workers ideas and/or suggestions.</w:t>
            </w:r>
          </w:p>
          <w:p w14:paraId="40818A35" w14:textId="75E8B4FA" w:rsidR="00242848" w:rsidRDefault="00242848" w:rsidP="00242848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Projects teams and groups</w:t>
            </w:r>
          </w:p>
          <w:p w14:paraId="7B73C644" w14:textId="682A8E46" w:rsidR="00242848" w:rsidRDefault="00242848" w:rsidP="00242848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Teams and groups are established to introd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>uce new technologies, work tasks or new equipment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in the workplace.  They can also be useful in training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on </w:t>
            </w:r>
            <w:bookmarkStart w:id="0" w:name="_GoBack"/>
            <w:bookmarkEnd w:id="0"/>
            <w:r>
              <w:rPr>
                <w:rFonts w:ascii="Arial" w:hAnsi="Arial" w:cs="Arial"/>
                <w:color w:val="1D2228"/>
                <w:sz w:val="22"/>
                <w:szCs w:val="22"/>
              </w:rPr>
              <w:t>new processes and procedure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.</w:t>
            </w:r>
            <w:r w:rsidR="00E15590">
              <w:t xml:space="preserve">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Examples such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lastRenderedPageBreak/>
              <w:t xml:space="preserve">as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p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ersonal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p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rotective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e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>quipment review, new equipment installation, changes in legislation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, etc.</w:t>
            </w:r>
          </w:p>
          <w:p w14:paraId="43A10E50" w14:textId="77777777" w:rsidR="00873A37" w:rsidRPr="00873A37" w:rsidRDefault="00873A37" w:rsidP="00873A37">
            <w:pPr>
              <w:rPr>
                <w:lang w:eastAsia="en-CA"/>
              </w:rPr>
            </w:pPr>
          </w:p>
          <w:p w14:paraId="51F0D0F8" w14:textId="186A490F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Questionnaires and surveys</w:t>
            </w:r>
          </w:p>
          <w:p w14:paraId="1EED76B6" w14:textId="156D3534" w:rsidR="001454D3" w:rsidRDefault="001454D3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>Questionnaires on working conditions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 xml:space="preserve"> and safety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 xml:space="preserve">processes/procedures 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are used widely in different contexts with respect to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health and safety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 management. A questionnaire is an instrument to provide feedback from a defined number of respondents. Quantitative questionnaires allow management to generate statistics or to get a representative overview on working conditions in a company or in parts of a company. Qualitative estimations of single workers or groups of workers are often collected via face-to-face interviews or group interviews</w:t>
            </w:r>
          </w:p>
          <w:p w14:paraId="480B0179" w14:textId="2ADCB5BB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Peer Observations</w:t>
            </w:r>
          </w:p>
          <w:p w14:paraId="7034A258" w14:textId="6A38DB1B" w:rsidR="001454D3" w:rsidRPr="00EB472A" w:rsidRDefault="00642499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</w:t>
            </w:r>
            <w:r w:rsidR="001454D3" w:rsidRPr="00EB472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here colleagues observe workers’ behaviour at the workplace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o</w:t>
            </w:r>
            <w:r w:rsidR="001454D3" w:rsidRPr="00EB472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bservations can contribute to revealing weak points in work organisation or to correcting inadequate working habits. The worker receives feedback from his/her colleague and can learn from experience. Peer observations can be used during risk assessments, near miss reporting systems or for improving the company’s safety cu</w:t>
            </w:r>
            <w:r w:rsidR="001454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lture</w:t>
            </w:r>
            <w:r w:rsidR="00E1559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These observations must not be punitive in nature and must allow for positive feedback to correct unsafe behaviour.</w:t>
            </w:r>
          </w:p>
          <w:p w14:paraId="41C0C026" w14:textId="77777777" w:rsidR="00242848" w:rsidRPr="00242848" w:rsidRDefault="001454D3" w:rsidP="00242848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Internal Feedback systems</w:t>
            </w:r>
          </w:p>
          <w:p w14:paraId="327FF1C9" w14:textId="2E9929A6" w:rsidR="00242848" w:rsidRPr="00242848" w:rsidRDefault="00C42E13" w:rsidP="00242848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This system encourages employees to suggest changes and or upgrades to the company’s Health and Safety Systems and programs.  This can be accomplished using digital and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hand written 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“suggestion box” reporting to a centralized location.  The company would then respond to the suggestions by direct contact or </w:t>
            </w:r>
            <w:r w:rsidR="00EB472A" w:rsidRPr="00242848">
              <w:rPr>
                <w:rFonts w:ascii="Arial" w:hAnsi="Arial" w:cs="Arial"/>
                <w:color w:val="1D2228"/>
                <w:sz w:val="22"/>
                <w:szCs w:val="22"/>
              </w:rPr>
              <w:t>generalized open announcement to all workers.</w:t>
            </w:r>
          </w:p>
          <w:p w14:paraId="212A0532" w14:textId="44DF939B" w:rsidR="00C42E13" w:rsidRPr="00242848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The standard advocates that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 xml:space="preserve">the 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organization leaders, workers and workers representatives when applicable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will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 work together in the development and continuous improvement of the OH&amp;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M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S system. </w:t>
            </w:r>
          </w:p>
          <w:p w14:paraId="7569F2A1" w14:textId="575F9480" w:rsidR="00BB5775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 xml:space="preserve">The cross-functional approach is encouraged, as the standard requires that the organization establish processes for consulting workers and getting them actively involved in the process. </w:t>
            </w:r>
          </w:p>
          <w:p w14:paraId="5DEB9E03" w14:textId="349A242B" w:rsidR="00242848" w:rsidRPr="00242848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Through incorporation of cross-functional teams, multiple viewpoints and experiences are shared, allowing for increased identification of risks and opportunities.</w:t>
            </w:r>
          </w:p>
          <w:p w14:paraId="21AC512B" w14:textId="2DD9E366" w:rsidR="00134ED8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 xml:space="preserve">Human </w:t>
            </w:r>
            <w:r w:rsidR="00C301AF" w:rsidRPr="00EB472A">
              <w:rPr>
                <w:rFonts w:ascii="Arial" w:hAnsi="Arial" w:cs="Arial"/>
                <w:color w:val="1D2228"/>
                <w:sz w:val="22"/>
                <w:szCs w:val="22"/>
              </w:rPr>
              <w:t>R</w:t>
            </w: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esources, in consultation with management, will determine the success of this procedure on an annual basis. Any gaps will be identified and corrected as appropriate.</w:t>
            </w:r>
          </w:p>
          <w:p w14:paraId="5775B91B" w14:textId="5E4F9E8C" w:rsidR="00BB5775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Minutes of meetings, training and consultation are required as proof of worker participation.</w:t>
            </w:r>
          </w:p>
          <w:p w14:paraId="68795E49" w14:textId="3A8F0348" w:rsidR="0065415B" w:rsidRPr="00EB472A" w:rsidRDefault="0065415B" w:rsidP="00BB5775">
            <w:pPr>
              <w:pStyle w:val="yiv2439159957default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9D2C3" w14:textId="77777777" w:rsidR="0065415B" w:rsidRPr="00EB472A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:rsidRPr="00EB472A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CHANGES TRACKING</w:t>
            </w:r>
          </w:p>
        </w:tc>
      </w:tr>
      <w:tr w:rsidR="0065415B" w:rsidRPr="00EB472A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DATE CHANGED</w:t>
            </w:r>
          </w:p>
        </w:tc>
      </w:tr>
      <w:tr w:rsidR="0065415B" w:rsidRPr="00EB472A" w14:paraId="5BC27FD6" w14:textId="77777777" w:rsidTr="0065415B">
        <w:tc>
          <w:tcPr>
            <w:tcW w:w="4675" w:type="dxa"/>
          </w:tcPr>
          <w:p w14:paraId="43B4C9AF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14:paraId="09AA0D07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</w:tr>
      <w:tr w:rsidR="0065415B" w:rsidRPr="00EB472A" w14:paraId="36C50327" w14:textId="77777777" w:rsidTr="0065415B">
        <w:tc>
          <w:tcPr>
            <w:tcW w:w="4675" w:type="dxa"/>
          </w:tcPr>
          <w:p w14:paraId="4FAF1AB8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14:paraId="0BA0E6DA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</w:tr>
    </w:tbl>
    <w:p w14:paraId="3F16AD5C" w14:textId="77777777" w:rsidR="0065415B" w:rsidRPr="00EB472A" w:rsidRDefault="0065415B" w:rsidP="00BB5775">
      <w:pPr>
        <w:rPr>
          <w:rFonts w:ascii="Arial" w:hAnsi="Arial" w:cs="Arial"/>
          <w:b/>
        </w:rPr>
      </w:pPr>
    </w:p>
    <w:sectPr w:rsidR="0065415B" w:rsidRPr="00EB472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FE82" w14:textId="77777777" w:rsidR="00BB087C" w:rsidRDefault="00BB087C" w:rsidP="00275413">
      <w:pPr>
        <w:spacing w:after="0" w:line="240" w:lineRule="auto"/>
      </w:pPr>
      <w:r>
        <w:separator/>
      </w:r>
    </w:p>
  </w:endnote>
  <w:endnote w:type="continuationSeparator" w:id="0">
    <w:p w14:paraId="23194123" w14:textId="77777777" w:rsidR="00BB087C" w:rsidRDefault="00BB087C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F759" w14:textId="453CCB8C" w:rsidR="00275413" w:rsidRDefault="00275413" w:rsidP="00275413">
    <w:pPr>
      <w:pStyle w:val="Footer"/>
    </w:pPr>
    <w:r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27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7B98" w14:textId="77777777" w:rsidR="00BB087C" w:rsidRDefault="00BB087C" w:rsidP="00275413">
      <w:pPr>
        <w:spacing w:after="0" w:line="240" w:lineRule="auto"/>
      </w:pPr>
      <w:r>
        <w:separator/>
      </w:r>
    </w:p>
  </w:footnote>
  <w:footnote w:type="continuationSeparator" w:id="0">
    <w:p w14:paraId="06427A45" w14:textId="77777777" w:rsidR="00BB087C" w:rsidRDefault="00BB087C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EB"/>
    <w:multiLevelType w:val="hybridMultilevel"/>
    <w:tmpl w:val="B0566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2EE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90E99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D0C9E"/>
    <w:multiLevelType w:val="hybridMultilevel"/>
    <w:tmpl w:val="60DAED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A6F8F"/>
    <w:multiLevelType w:val="multilevel"/>
    <w:tmpl w:val="D34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BA5C4D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90DD2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E5CE2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41D22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717351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C420A"/>
    <w:multiLevelType w:val="hybridMultilevel"/>
    <w:tmpl w:val="7A5A6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30B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D5704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334BA2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134ED8"/>
    <w:rsid w:val="001454D3"/>
    <w:rsid w:val="00151DDB"/>
    <w:rsid w:val="00174F8C"/>
    <w:rsid w:val="001835BB"/>
    <w:rsid w:val="001A2796"/>
    <w:rsid w:val="001C2CD8"/>
    <w:rsid w:val="0023154A"/>
    <w:rsid w:val="00242848"/>
    <w:rsid w:val="00275413"/>
    <w:rsid w:val="00401804"/>
    <w:rsid w:val="00443832"/>
    <w:rsid w:val="005038FE"/>
    <w:rsid w:val="00550276"/>
    <w:rsid w:val="00596870"/>
    <w:rsid w:val="00642499"/>
    <w:rsid w:val="0065415B"/>
    <w:rsid w:val="006E3F6E"/>
    <w:rsid w:val="007256D5"/>
    <w:rsid w:val="00856582"/>
    <w:rsid w:val="00873A37"/>
    <w:rsid w:val="00877294"/>
    <w:rsid w:val="00907C03"/>
    <w:rsid w:val="00907CB3"/>
    <w:rsid w:val="00924B1D"/>
    <w:rsid w:val="00A25665"/>
    <w:rsid w:val="00A96C33"/>
    <w:rsid w:val="00B016D9"/>
    <w:rsid w:val="00B06826"/>
    <w:rsid w:val="00B50D29"/>
    <w:rsid w:val="00B9340B"/>
    <w:rsid w:val="00BB087C"/>
    <w:rsid w:val="00BB5775"/>
    <w:rsid w:val="00C301AF"/>
    <w:rsid w:val="00C42E13"/>
    <w:rsid w:val="00C877FF"/>
    <w:rsid w:val="00CC59EB"/>
    <w:rsid w:val="00D004F3"/>
    <w:rsid w:val="00D304AB"/>
    <w:rsid w:val="00D41E31"/>
    <w:rsid w:val="00D61B2E"/>
    <w:rsid w:val="00D66142"/>
    <w:rsid w:val="00DF41C7"/>
    <w:rsid w:val="00E02DF6"/>
    <w:rsid w:val="00E15590"/>
    <w:rsid w:val="00E238C8"/>
    <w:rsid w:val="00E54D7D"/>
    <w:rsid w:val="00EB472A"/>
    <w:rsid w:val="00EE16B3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F848"/>
  <w15:chartTrackingRefBased/>
  <w15:docId w15:val="{1A55346E-324C-4BBF-894A-B9F0055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  <w:style w:type="paragraph" w:customStyle="1" w:styleId="yiv2439159957msonormal">
    <w:name w:val="yiv2439159957msonormal"/>
    <w:basedOn w:val="Normal"/>
    <w:rsid w:val="001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2439159957default">
    <w:name w:val="yiv2439159957default"/>
    <w:basedOn w:val="Normal"/>
    <w:rsid w:val="001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B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77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B577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B5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Nancy Dunk</cp:lastModifiedBy>
  <cp:revision>9</cp:revision>
  <dcterms:created xsi:type="dcterms:W3CDTF">2019-10-28T13:26:00Z</dcterms:created>
  <dcterms:modified xsi:type="dcterms:W3CDTF">2019-10-28T17:18:00Z</dcterms:modified>
</cp:coreProperties>
</file>